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F0E">
      <w:pPr>
        <w:pStyle w:val="Szvegtrzs3"/>
      </w:pPr>
      <w:r>
        <w:t>Az IT-beruházási döntések előkész</w:t>
      </w:r>
      <w:r>
        <w:t>í</w:t>
      </w:r>
      <w:r>
        <w:t>tésében alkalmazható Technikák</w:t>
      </w:r>
    </w:p>
    <w:p w:rsidR="00000000" w:rsidRDefault="00943F0E">
      <w:pPr>
        <w:jc w:val="center"/>
      </w:pPr>
    </w:p>
    <w:p w:rsidR="00000000" w:rsidRDefault="00943F0E">
      <w:pPr>
        <w:jc w:val="center"/>
      </w:pPr>
    </w:p>
    <w:p w:rsidR="00000000" w:rsidRDefault="00943F0E">
      <w:pPr>
        <w:jc w:val="center"/>
      </w:pPr>
      <w:r>
        <w:t xml:space="preserve">Dolgozat a </w:t>
      </w:r>
      <w:r>
        <w:br/>
      </w:r>
      <w:r>
        <w:rPr>
          <w:i/>
        </w:rPr>
        <w:t xml:space="preserve">„Vállalati gazdálkodás, finanszírozás, vállalatértékelés” </w:t>
      </w:r>
      <w:r>
        <w:rPr>
          <w:i/>
        </w:rPr>
        <w:br/>
      </w:r>
      <w:r>
        <w:t>című tantárgyból</w:t>
      </w:r>
    </w:p>
    <w:p w:rsidR="00000000" w:rsidRDefault="00943F0E">
      <w:pPr>
        <w:jc w:val="center"/>
      </w:pPr>
    </w:p>
    <w:p w:rsidR="00000000" w:rsidRDefault="00943F0E">
      <w:pPr>
        <w:jc w:val="center"/>
      </w:pPr>
    </w:p>
    <w:p w:rsidR="00000000" w:rsidRDefault="00943F0E">
      <w:pPr>
        <w:jc w:val="center"/>
      </w:pPr>
    </w:p>
    <w:p w:rsidR="00000000" w:rsidRDefault="00943F0E">
      <w:pPr>
        <w:rPr>
          <w:rFonts w:ascii="Arial" w:hAnsi="Arial"/>
          <w:b/>
          <w:sz w:val="28"/>
        </w:rPr>
      </w:pPr>
      <w:r>
        <w:br w:type="page"/>
      </w:r>
      <w:r>
        <w:rPr>
          <w:rFonts w:ascii="Arial" w:hAnsi="Arial"/>
          <w:b/>
          <w:sz w:val="28"/>
        </w:rPr>
        <w:lastRenderedPageBreak/>
        <w:t>Tartalom</w:t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Bevezetés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1.1.</w:t>
      </w:r>
      <w:r>
        <w:rPr>
          <w:noProof/>
        </w:rPr>
        <w:tab/>
        <w:t>Az informatika szerepé</w:t>
      </w:r>
      <w:r>
        <w:rPr>
          <w:noProof/>
        </w:rPr>
        <w:t>nek változása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1.2.</w:t>
      </w:r>
      <w:r>
        <w:rPr>
          <w:noProof/>
        </w:rPr>
        <w:tab/>
        <w:t>Az IT-menedzsment alapkérdései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Hagyományos pénzügyi elemzések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2.1.</w:t>
      </w:r>
      <w:r>
        <w:rPr>
          <w:noProof/>
        </w:rPr>
        <w:tab/>
        <w:t>Megtérülési számítások (ROI)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2.2.</w:t>
      </w:r>
      <w:r>
        <w:rPr>
          <w:noProof/>
        </w:rPr>
        <w:tab/>
        <w:t>Költs</w:t>
      </w:r>
      <w:r>
        <w:rPr>
          <w:noProof/>
        </w:rPr>
        <w:t>ég-haszon elemzés (CBA)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2.3.</w:t>
      </w:r>
      <w:r>
        <w:rPr>
          <w:noProof/>
        </w:rPr>
        <w:tab/>
        <w:t>Összegzés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Total Cost of Ownership (TCO)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3.1.</w:t>
      </w:r>
      <w:r>
        <w:rPr>
          <w:noProof/>
        </w:rPr>
        <w:tab/>
        <w:t>Miért mérjük a TCO-t?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3.2.</w:t>
      </w:r>
      <w:r>
        <w:rPr>
          <w:noProof/>
        </w:rPr>
        <w:tab/>
        <w:t>A TCO haszna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</w:instrText>
      </w:r>
      <w:r>
        <w:rPr>
          <w:noProof/>
        </w:rPr>
        <w:instrText xml:space="preserve">Toc536839191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3.3.</w:t>
      </w:r>
      <w:r>
        <w:rPr>
          <w:noProof/>
        </w:rPr>
        <w:tab/>
        <w:t>A TCO költségkategóriái (Chart of Accounts)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3.3.1.</w:t>
      </w:r>
      <w:r>
        <w:rPr>
          <w:noProof/>
        </w:rPr>
        <w:tab/>
        <w:t>Áttekintés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3.3.2.</w:t>
      </w:r>
      <w:r>
        <w:rPr>
          <w:noProof/>
        </w:rPr>
        <w:tab/>
        <w:t>Közvetlen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943F0E">
      <w:pPr>
        <w:pStyle w:val="TJ4"/>
        <w:tabs>
          <w:tab w:val="left" w:pos="1440"/>
          <w:tab w:val="right" w:leader="dot" w:pos="9394"/>
        </w:tabs>
        <w:rPr>
          <w:noProof/>
        </w:rPr>
      </w:pPr>
      <w:r>
        <w:rPr>
          <w:noProof/>
        </w:rPr>
        <w:t>3.3.2.1.</w:t>
      </w:r>
      <w:r>
        <w:rPr>
          <w:noProof/>
        </w:rPr>
        <w:tab/>
        <w:t>Hardver és szoftver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</w:instrText>
      </w:r>
      <w:r>
        <w:rPr>
          <w:noProof/>
        </w:rPr>
        <w:instrText xml:space="preserve">36839195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943F0E">
      <w:pPr>
        <w:pStyle w:val="TJ4"/>
        <w:tabs>
          <w:tab w:val="left" w:pos="1440"/>
          <w:tab w:val="right" w:leader="dot" w:pos="9394"/>
        </w:tabs>
        <w:rPr>
          <w:noProof/>
        </w:rPr>
      </w:pPr>
      <w:r>
        <w:rPr>
          <w:noProof/>
        </w:rPr>
        <w:t>3.3.2.2.</w:t>
      </w:r>
      <w:r>
        <w:rPr>
          <w:noProof/>
        </w:rPr>
        <w:tab/>
      </w:r>
      <w:r>
        <w:rPr>
          <w:noProof/>
        </w:rPr>
        <w:t>Működtetés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943F0E">
      <w:pPr>
        <w:pStyle w:val="TJ4"/>
        <w:tabs>
          <w:tab w:val="left" w:pos="1440"/>
          <w:tab w:val="right" w:leader="dot" w:pos="9394"/>
        </w:tabs>
        <w:rPr>
          <w:noProof/>
        </w:rPr>
      </w:pPr>
      <w:r>
        <w:rPr>
          <w:noProof/>
        </w:rPr>
        <w:t>3.3.2.3.</w:t>
      </w:r>
      <w:r>
        <w:rPr>
          <w:noProof/>
        </w:rPr>
        <w:tab/>
        <w:t>Adminisztráció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3.3.3.</w:t>
      </w:r>
      <w:r>
        <w:rPr>
          <w:noProof/>
        </w:rPr>
        <w:tab/>
        <w:t>Közvetett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00000" w:rsidRDefault="00943F0E">
      <w:pPr>
        <w:pStyle w:val="TJ4"/>
        <w:tabs>
          <w:tab w:val="left" w:pos="1440"/>
          <w:tab w:val="right" w:leader="dot" w:pos="9394"/>
        </w:tabs>
        <w:rPr>
          <w:noProof/>
        </w:rPr>
      </w:pPr>
      <w:r>
        <w:rPr>
          <w:noProof/>
        </w:rPr>
        <w:t>3.3.3.1.</w:t>
      </w:r>
      <w:r>
        <w:rPr>
          <w:noProof/>
        </w:rPr>
        <w:tab/>
        <w:t>A felhasználói tevékenységekből eredő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00000" w:rsidRDefault="00943F0E">
      <w:pPr>
        <w:pStyle w:val="TJ4"/>
        <w:tabs>
          <w:tab w:val="left" w:pos="1440"/>
          <w:tab w:val="right" w:leader="dot" w:pos="9394"/>
        </w:tabs>
        <w:rPr>
          <w:noProof/>
        </w:rPr>
      </w:pPr>
      <w:r>
        <w:rPr>
          <w:noProof/>
        </w:rPr>
        <w:t>3.3.3</w:t>
      </w:r>
      <w:r>
        <w:rPr>
          <w:noProof/>
        </w:rPr>
        <w:t>.2.</w:t>
      </w:r>
      <w:r>
        <w:rPr>
          <w:noProof/>
        </w:rPr>
        <w:tab/>
        <w:t>Állásidőből eredő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3.4.</w:t>
      </w:r>
      <w:r>
        <w:rPr>
          <w:noProof/>
        </w:rPr>
        <w:tab/>
        <w:t>A TCO alkalmazásában követendő gyakorlat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3.5.</w:t>
      </w:r>
      <w:r>
        <w:rPr>
          <w:noProof/>
        </w:rPr>
        <w:tab/>
        <w:t>TCO a gyakorlatban – központi IT-menedzsment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3.6.</w:t>
      </w:r>
      <w:r>
        <w:rPr>
          <w:noProof/>
        </w:rPr>
        <w:tab/>
        <w:t>Összefoglalás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</w:instrText>
      </w:r>
      <w:r>
        <w:rPr>
          <w:noProof/>
        </w:rPr>
        <w:instrText xml:space="preserve">_Toc536839203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Az IT-projektek átfogó értékelése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4.1.</w:t>
      </w:r>
      <w:r>
        <w:rPr>
          <w:noProof/>
        </w:rPr>
        <w:tab/>
        <w:t>A REJ és a BEIS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4.2.</w:t>
      </w:r>
      <w:r>
        <w:rPr>
          <w:noProof/>
        </w:rPr>
        <w:tab/>
        <w:t>A REJ alapvető elemei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943F0E">
      <w:pPr>
        <w:pStyle w:val="TJ2"/>
        <w:tabs>
          <w:tab w:val="left" w:pos="720"/>
          <w:tab w:val="right" w:leader="dot" w:pos="9394"/>
        </w:tabs>
        <w:rPr>
          <w:noProof/>
        </w:rPr>
      </w:pPr>
      <w:r>
        <w:rPr>
          <w:noProof/>
        </w:rPr>
        <w:t>4.3.</w:t>
      </w:r>
      <w:r>
        <w:rPr>
          <w:noProof/>
        </w:rPr>
        <w:tab/>
        <w:t>A REJ-projekt modellje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</w:instrText>
      </w:r>
      <w:r>
        <w:rPr>
          <w:noProof/>
        </w:rPr>
        <w:instrText xml:space="preserve">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4.3.1.</w:t>
      </w:r>
      <w:r>
        <w:rPr>
          <w:noProof/>
        </w:rPr>
        <w:tab/>
        <w:t>Első lépés: Az üzleti helyzet felmérése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4.3.2.</w:t>
      </w:r>
      <w:r>
        <w:rPr>
          <w:noProof/>
        </w:rPr>
        <w:tab/>
        <w:t>Második lépés: Az IT- megoldás meghatározása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4.3.3.</w:t>
      </w:r>
      <w:r>
        <w:rPr>
          <w:noProof/>
        </w:rPr>
        <w:tab/>
        <w:t>Harmadik lépés: A hasznok és költségek felbecslése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</w:instrText>
      </w:r>
      <w:r>
        <w:rPr>
          <w:noProof/>
        </w:rPr>
        <w:instrText xml:space="preserve">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4.3.4.</w:t>
      </w:r>
      <w:r>
        <w:rPr>
          <w:noProof/>
        </w:rPr>
        <w:tab/>
        <w:t>Negyedik lépés. A kockázatok azonosítása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943F0E">
      <w:pPr>
        <w:pStyle w:val="TJ3"/>
        <w:tabs>
          <w:tab w:val="left" w:pos="1200"/>
          <w:tab w:val="right" w:leader="dot" w:pos="9394"/>
        </w:tabs>
        <w:rPr>
          <w:noProof/>
        </w:rPr>
      </w:pPr>
      <w:r>
        <w:rPr>
          <w:noProof/>
        </w:rPr>
        <w:t>4.3.5.</w:t>
      </w:r>
      <w:r>
        <w:rPr>
          <w:noProof/>
        </w:rPr>
        <w:tab/>
        <w:t>Ötödik lépés: Pénzügyi mutatók képzése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Összefoglalás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Rövidítések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</w:instrText>
      </w:r>
      <w:r>
        <w:rPr>
          <w:noProof/>
        </w:rPr>
        <w:instrText xml:space="preserve">_Toc536839214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000000" w:rsidRDefault="00943F0E">
      <w:pPr>
        <w:pStyle w:val="TJ1"/>
        <w:tabs>
          <w:tab w:val="left" w:pos="480"/>
          <w:tab w:val="right" w:leader="dot" w:pos="9394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Felhasznált irodalom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_Toc536839215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000000" w:rsidRDefault="00943F0E">
      <w:r>
        <w:fldChar w:fldCharType="end"/>
      </w:r>
    </w:p>
    <w:p w:rsidR="00000000" w:rsidRDefault="00943F0E">
      <w:pPr>
        <w:pStyle w:val="Cmsor1"/>
      </w:pPr>
      <w:r>
        <w:br w:type="page"/>
      </w:r>
      <w:bookmarkStart w:id="0" w:name="_Toc536839182"/>
      <w:r>
        <w:lastRenderedPageBreak/>
        <w:t>Bevezetés</w:t>
      </w:r>
      <w:bookmarkEnd w:id="0"/>
    </w:p>
    <w:p w:rsidR="00000000" w:rsidRDefault="00943F0E">
      <w:pPr>
        <w:pStyle w:val="Cmsor2"/>
      </w:pPr>
      <w:bookmarkStart w:id="1" w:name="_Toc536839183"/>
      <w:r>
        <w:t>Az informatika szerepének változása</w:t>
      </w:r>
      <w:bookmarkEnd w:id="1"/>
    </w:p>
    <w:p w:rsidR="00000000" w:rsidRDefault="00943F0E">
      <w:r>
        <w:t>Napjainkban az információ egyre fontosabb – gyakorlatilag nélkülözhetetlen – erőforrássá vált. Minden szervezet – legyen bár profitorientált vagy non-profit – valamilyen módon rá van szoru</w:t>
      </w:r>
      <w:r>
        <w:t>l</w:t>
      </w:r>
      <w:r>
        <w:t>va, hogy információhoz jusson egyrészt a saját működéséről, másrész</w:t>
      </w:r>
      <w:r>
        <w:t>t a környezetéről. Inform</w:t>
      </w:r>
      <w:r>
        <w:t>á</w:t>
      </w:r>
      <w:r>
        <w:t xml:space="preserve">ció nélkül nem képes megtalálni helyét a piacon, nem képes eredményes, hatékony működésre illetve nem tudja kihasználni a piacon adódó terjeszkedési lehetőségeket. </w:t>
      </w:r>
    </w:p>
    <w:p w:rsidR="00000000" w:rsidRDefault="00943F0E">
      <w:r>
        <w:t>Ugyanakkor az utóbbi 10-15 évben számos olyan iparág indult roham</w:t>
      </w:r>
      <w:r>
        <w:t>os fejlődésnek, melyek egyenesen az információra (illetve az információ technológiára – IT) alapozták létüket. Érdemes megemlíteni közülük az e-business-szel kapcsolatos kezdeményezéseket (on-line üzletek, elek</w:t>
      </w:r>
      <w:r>
        <w:t>t</w:t>
      </w:r>
      <w:r>
        <w:t>ronikus piacterek és aukciók), illetve termés</w:t>
      </w:r>
      <w:r>
        <w:t>zetesen az IT egyes elemeit fejlesztő és forgalmazó vállalatokat. (Előbbiek közül csak az említés szintjén néhány: az Amazon elektronikus könyve</w:t>
      </w:r>
      <w:r>
        <w:t>s</w:t>
      </w:r>
      <w:r>
        <w:t xml:space="preserve">bolt – </w:t>
      </w:r>
      <w:r>
        <w:rPr>
          <w:rStyle w:val="Hiperhivatkozs"/>
        </w:rPr>
        <w:t>www.amazon.com</w:t>
      </w:r>
      <w:r>
        <w:t xml:space="preserve">, az E-Bay elektronikus piactér – </w:t>
      </w:r>
      <w:r>
        <w:rPr>
          <w:rStyle w:val="Hiperhivatkozs"/>
        </w:rPr>
        <w:t>www.ebay.com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>, valamint egy magyar vállalkozás: az Agripo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>rtal mezőgazdasági termékek – és információk – elektronikus kereskede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>l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>mével fo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>g</w:t>
      </w:r>
      <w:r>
        <w:rPr>
          <w:rStyle w:val="Hiperhivatkozs"/>
          <w:rFonts w:ascii="Times New Roman" w:hAnsi="Times New Roman"/>
          <w:color w:val="auto"/>
          <w:sz w:val="24"/>
          <w:u w:val="none"/>
        </w:rPr>
        <w:t xml:space="preserve">lalkozó honlapja: </w:t>
      </w:r>
      <w:r>
        <w:rPr>
          <w:rStyle w:val="Hiperhivatkozs"/>
        </w:rPr>
        <w:t>www.agriportal.hu</w:t>
      </w:r>
      <w:r>
        <w:t xml:space="preserve">). </w:t>
      </w:r>
    </w:p>
    <w:p w:rsidR="00000000" w:rsidRDefault="00943F0E">
      <w:r>
        <w:t>Ezen kívül az utóbbi időben a világ majd minden pontján kormányzati oldalról is számos olyam kezdeményezés indult (e-kormányzat), melyek m</w:t>
      </w:r>
      <w:r>
        <w:t xml:space="preserve">egvalósításához elengedhetetlen a magas szintű IT-támogatás (pl. Virginia Állam e-kormányzati funkciókat megvalósító oldala – </w:t>
      </w:r>
      <w:r>
        <w:rPr>
          <w:rStyle w:val="Hiperhivatkozs"/>
        </w:rPr>
        <w:t>http://www.egov.state.va.us/egov/index.asp</w:t>
      </w:r>
      <w:r>
        <w:t>, illetve a nemrégiben beindult magyar kormányzati po</w:t>
      </w:r>
      <w:r>
        <w:t>r</w:t>
      </w:r>
      <w:r>
        <w:t xml:space="preserve">tál – </w:t>
      </w:r>
      <w:r>
        <w:rPr>
          <w:rStyle w:val="Hiperhivatkozs"/>
        </w:rPr>
        <w:t>http://www.ekormanyzat.hu</w:t>
      </w:r>
      <w:r>
        <w:t>)</w:t>
      </w:r>
    </w:p>
    <w:p w:rsidR="00000000" w:rsidRDefault="00943F0E">
      <w:r>
        <w:t>E</w:t>
      </w:r>
      <w:r>
        <w:t>bből a rövid – és korántsem teljes – áttekintésből is látható, hogy napjainkra az információ, az informatika és az IT a gazdasági (és az azon kívüli) szférák kulcsfogalmaivá váltak. Ezt a foly</w:t>
      </w:r>
      <w:r>
        <w:t>a</w:t>
      </w:r>
      <w:r>
        <w:t>matot számos szerző sokféle módon ragadta meg:</w:t>
      </w:r>
    </w:p>
    <w:p w:rsidR="00000000" w:rsidRDefault="00943F0E">
      <w:r>
        <w:rPr>
          <w:i/>
        </w:rPr>
        <w:t>„Az információre</w:t>
      </w:r>
      <w:r>
        <w:rPr>
          <w:i/>
        </w:rPr>
        <w:t xml:space="preserve">ndszerek üzemeltetés kikerült a kezdetekre jellemző elszigetelt helyzetéből, az IT egyre inkább a mindennapi munka részévé vált” </w:t>
      </w:r>
      <w:r>
        <w:t>(</w:t>
      </w:r>
      <w:r>
        <w:rPr>
          <w:b/>
        </w:rPr>
        <w:t>[6]</w:t>
      </w:r>
      <w:r>
        <w:t xml:space="preserve"> </w:t>
      </w:r>
      <w:r>
        <w:rPr>
          <w:smallCaps/>
        </w:rPr>
        <w:t>Szabó</w:t>
      </w:r>
      <w:r>
        <w:t xml:space="preserve">, 1997). </w:t>
      </w:r>
    </w:p>
    <w:p w:rsidR="00000000" w:rsidRDefault="00943F0E">
      <w:r>
        <w:rPr>
          <w:i/>
        </w:rPr>
        <w:t xml:space="preserve">„… az erőforrásokkal történő jó vagy rossz gazdálkodással az információ a versenyben előnyt szerezhet vagy </w:t>
      </w:r>
      <w:r>
        <w:rPr>
          <w:i/>
        </w:rPr>
        <w:t>perifériára szoríthat. És ennek megfelelően az információ kezelés feladata is komplexebb lett.”</w:t>
      </w:r>
      <w:r>
        <w:t xml:space="preserve"> (</w:t>
      </w:r>
      <w:r>
        <w:rPr>
          <w:b/>
        </w:rPr>
        <w:t>[3]</w:t>
      </w:r>
      <w:r>
        <w:t xml:space="preserve"> </w:t>
      </w:r>
      <w:r>
        <w:rPr>
          <w:smallCaps/>
        </w:rPr>
        <w:t>Klug</w:t>
      </w:r>
      <w:r>
        <w:t>, 1987)</w:t>
      </w:r>
    </w:p>
    <w:p w:rsidR="00000000" w:rsidRDefault="00943F0E">
      <w:pPr>
        <w:rPr>
          <w:i/>
        </w:rPr>
      </w:pPr>
      <w:r>
        <w:rPr>
          <w:i/>
        </w:rPr>
        <w:t xml:space="preserve"> „A kilencvenes években a vállalati számítógépes rendszerek felhasználási módja jelentős válto</w:t>
      </w:r>
      <w:r>
        <w:rPr>
          <w:i/>
        </w:rPr>
        <w:t>z</w:t>
      </w:r>
      <w:r>
        <w:rPr>
          <w:i/>
        </w:rPr>
        <w:t>tatáson megy keresztül. Ahogy a polcról levehető</w:t>
      </w:r>
      <w:r>
        <w:rPr>
          <w:i/>
        </w:rPr>
        <w:t xml:space="preserve"> rendszerek egyre hozzáférhetőbbek lesznek, egyre nagyobb a kereslet a kisebb cégek részéről is, s ezáltal az informatikai megoldások egyre szélesebb körben válnak üzemi szintű gyakorlattá. Ugyanakkor a »meta«-rendszerek, a multin</w:t>
      </w:r>
      <w:r>
        <w:rPr>
          <w:i/>
        </w:rPr>
        <w:t>a</w:t>
      </w:r>
      <w:r>
        <w:rPr>
          <w:i/>
        </w:rPr>
        <w:t>cionális megoldások egyre</w:t>
      </w:r>
      <w:r>
        <w:rPr>
          <w:i/>
        </w:rPr>
        <w:t xml:space="preserve"> nagyobbak, egyre kevésbé áttekinthetőek, többszintűvé válnak, külső partnerszolgáltatókkal dolgoznak.”</w:t>
      </w:r>
      <w:r>
        <w:t xml:space="preserve"> (</w:t>
      </w:r>
      <w:r>
        <w:rPr>
          <w:b/>
        </w:rPr>
        <w:t>[1]</w:t>
      </w:r>
      <w:r>
        <w:t xml:space="preserve"> </w:t>
      </w:r>
      <w:r>
        <w:rPr>
          <w:smallCaps/>
        </w:rPr>
        <w:t>Dobay</w:t>
      </w:r>
      <w:r>
        <w:t>, 1997)</w:t>
      </w:r>
      <w:r>
        <w:rPr>
          <w:i/>
        </w:rPr>
        <w:t xml:space="preserve"> </w:t>
      </w:r>
    </w:p>
    <w:p w:rsidR="00000000" w:rsidRDefault="00943F0E">
      <w:r>
        <w:rPr>
          <w:i/>
        </w:rPr>
        <w:t>„Az informatika ma már nem egyszerűen költségtényező a vállalatok szemében, hanem stratégiai fegyver a versenyképesség növeléséhez és</w:t>
      </w:r>
      <w:r>
        <w:rPr>
          <w:i/>
        </w:rPr>
        <w:t xml:space="preserve"> fenntartásához. Mint egyik alapvető stratégiai eszköz, kiemelt figyelmet érdemel.”</w:t>
      </w:r>
      <w:r>
        <w:t xml:space="preserve"> (</w:t>
      </w:r>
      <w:r>
        <w:rPr>
          <w:b/>
        </w:rPr>
        <w:t>[11]</w:t>
      </w:r>
      <w:r>
        <w:t xml:space="preserve"> </w:t>
      </w:r>
      <w:r>
        <w:rPr>
          <w:smallCaps/>
        </w:rPr>
        <w:t>Véry</w:t>
      </w:r>
      <w:r>
        <w:t>, 2001)</w:t>
      </w:r>
    </w:p>
    <w:p w:rsidR="00000000" w:rsidRDefault="00943F0E"/>
    <w:p w:rsidR="00000000" w:rsidRDefault="00943F0E">
      <w:pPr>
        <w:pStyle w:val="Cmsor2"/>
      </w:pPr>
      <w:bookmarkStart w:id="2" w:name="_Toc536839184"/>
      <w:r>
        <w:lastRenderedPageBreak/>
        <w:t>Az IT-menedzsment alapkérdései</w:t>
      </w:r>
      <w:bookmarkEnd w:id="2"/>
    </w:p>
    <w:p w:rsidR="00000000" w:rsidRDefault="00943F0E">
      <w:r>
        <w:t>Mivel az IT a szervezetek életének szinte elválaszthatatlan része lett, illetve ez az integráció a jövőben várhatóan még s</w:t>
      </w:r>
      <w:r>
        <w:t>zorosabbá válik, üzemeltetésével kapcsolatban számos szempontot kell figyelembe venni (</w:t>
      </w:r>
      <w:r>
        <w:rPr>
          <w:b/>
        </w:rPr>
        <w:t>[6]</w:t>
      </w:r>
      <w:r>
        <w:t xml:space="preserve"> </w:t>
      </w:r>
      <w:r>
        <w:rPr>
          <w:smallCaps/>
        </w:rPr>
        <w:t>Szabó</w:t>
      </w:r>
      <w:r>
        <w:t>, 1997):</w:t>
      </w:r>
    </w:p>
    <w:p w:rsidR="00000000" w:rsidRDefault="00943F0E">
      <w:pPr>
        <w:numPr>
          <w:ilvl w:val="0"/>
          <w:numId w:val="31"/>
        </w:numPr>
      </w:pPr>
      <w:r>
        <w:t xml:space="preserve">Az IT a szervezetek számára egyre fontosabb, szolgáltatási gyakorlatilag nélkülözhetetlenné váltak. </w:t>
      </w:r>
    </w:p>
    <w:p w:rsidR="00000000" w:rsidRDefault="00943F0E">
      <w:pPr>
        <w:numPr>
          <w:ilvl w:val="0"/>
          <w:numId w:val="31"/>
        </w:numPr>
      </w:pPr>
      <w:r>
        <w:t>Az IT-ra fordított kiadások folyamatosan növekedne</w:t>
      </w:r>
      <w:r>
        <w:t>k.</w:t>
      </w:r>
    </w:p>
    <w:p w:rsidR="00000000" w:rsidRDefault="00943F0E">
      <w:pPr>
        <w:numPr>
          <w:ilvl w:val="0"/>
          <w:numId w:val="31"/>
        </w:numPr>
      </w:pPr>
      <w:r>
        <w:t>Mivel az IT-ismeretek terjedése igen gyors, a felhasználók igényei is egyre kifinomultabba</w:t>
      </w:r>
      <w:r>
        <w:t>k</w:t>
      </w:r>
      <w:r>
        <w:t>ká váltak. Az informatikai szolgáltató (Information Services</w:t>
      </w:r>
      <w:r>
        <w:t xml:space="preserve"> – IS) és a felhasználók közötti kapcsolat eladó-vevő viszonnyá alakult, ahol a hangsúly a minőségen van.</w:t>
      </w:r>
    </w:p>
    <w:p w:rsidR="00000000" w:rsidRDefault="00943F0E">
      <w:pPr>
        <w:numPr>
          <w:ilvl w:val="0"/>
          <w:numId w:val="31"/>
        </w:numPr>
      </w:pPr>
      <w:r>
        <w:t>Az infrastruktúra és az alkalmazások bonyolultságának növekedésével a teljes rendszer egyre összetettebb lesz, így több a hibalehetőség.</w:t>
      </w:r>
    </w:p>
    <w:p w:rsidR="00000000" w:rsidRDefault="00943F0E">
      <w:r>
        <w:t>A mindennapos</w:t>
      </w:r>
      <w:r>
        <w:t xml:space="preserve"> problémákra (késnek a jelentések, lassúak a terminálok, egyes rendszerelemek nem elérhetők, a szervezett elégedetlen a szolgáltatásokkal) számos megoldási lehetőség képze</w:t>
      </w:r>
      <w:r>
        <w:t>l</w:t>
      </w:r>
      <w:r>
        <w:t xml:space="preserve">hető el, melyeket </w:t>
      </w:r>
      <w:r>
        <w:rPr>
          <w:smallCaps/>
        </w:rPr>
        <w:t xml:space="preserve">Szabó Zoltán </w:t>
      </w:r>
      <w:r>
        <w:t xml:space="preserve">a következőkben foglal össze: </w:t>
      </w:r>
      <w:r>
        <w:rPr>
          <w:i/>
        </w:rPr>
        <w:t>Az első stratégia:</w:t>
      </w:r>
      <w:r>
        <w:t xml:space="preserve"> Még </w:t>
      </w:r>
      <w:r>
        <w:t>több b</w:t>
      </w:r>
      <w:r>
        <w:t>e</w:t>
      </w:r>
      <w:r>
        <w:t xml:space="preserve">rendezést vásárolni, így extenzív növekedéssel megoldani a problémákat. Ez azonban pazarló és közel sem biztos sikerre vezető megoldás. </w:t>
      </w:r>
      <w:r>
        <w:rPr>
          <w:i/>
        </w:rPr>
        <w:t>A második stratégia:</w:t>
      </w:r>
      <w:r>
        <w:t xml:space="preserve"> a hibák tűzoltás jellegű, kapkodó orvoslása – ez viszont hosszú távon nem vezet kielégítő er</w:t>
      </w:r>
      <w:r>
        <w:t xml:space="preserve">edményre. </w:t>
      </w:r>
      <w:r>
        <w:rPr>
          <w:i/>
        </w:rPr>
        <w:t>A harmadik stratégia</w:t>
      </w:r>
      <w:r>
        <w:t>: F</w:t>
      </w:r>
      <w:r>
        <w:t>i</w:t>
      </w:r>
      <w:r>
        <w:t>gyelni, mi történik, és a lehető leghamarabb formális eljárásrendet kidolgozni, vagyis jól me</w:t>
      </w:r>
      <w:r>
        <w:t>g</w:t>
      </w:r>
      <w:r>
        <w:t>szervezett és kiépített menedzsment-megközelítést kell kidolgozni. Természetesen ez a hozzáá</w:t>
      </w:r>
      <w:r>
        <w:t>l</w:t>
      </w:r>
      <w:r>
        <w:t xml:space="preserve">lás elengedhetetlen új IT-rendszer </w:t>
      </w:r>
      <w:r>
        <w:t>kiépítésénél vagy a meglévő rendszer cseréjénél, korszerűsít</w:t>
      </w:r>
      <w:r>
        <w:t>é</w:t>
      </w:r>
      <w:r>
        <w:t>sénél is. (</w:t>
      </w:r>
      <w:r>
        <w:rPr>
          <w:b/>
        </w:rPr>
        <w:t>[6]</w:t>
      </w:r>
      <w:r>
        <w:t xml:space="preserve"> </w:t>
      </w:r>
      <w:r>
        <w:rPr>
          <w:smallCaps/>
        </w:rPr>
        <w:t>Szabó</w:t>
      </w:r>
      <w:r>
        <w:t>, 1997)</w:t>
      </w:r>
    </w:p>
    <w:p w:rsidR="00000000" w:rsidRDefault="00943F0E">
      <w:r>
        <w:t>Az eddigiekből világosan kiderül, hogy az IT-beruházások a szervezetek életének szerves részévé váltak, hiszen legyen szó egy vállalat üzleti folyamatait támogató rend</w:t>
      </w:r>
      <w:r>
        <w:t>szerről, akár egy non-profit szervezet információs rendszeréről, akár pedig egy kormányzati EDI-megoldásról, minden sze</w:t>
      </w:r>
      <w:r>
        <w:t>r</w:t>
      </w:r>
      <w:r>
        <w:t xml:space="preserve">vezet rá van utalva az információra. </w:t>
      </w:r>
    </w:p>
    <w:p w:rsidR="00000000" w:rsidRDefault="00943F0E">
      <w:r>
        <w:t xml:space="preserve">Mint minden beruházás, ez is hosszú távra szól és általában igen nagy hatást gyakorol a szervezet </w:t>
      </w:r>
      <w:r>
        <w:t>jelenbeli tevékenységeire és jövőbeli lehetőségeire. Egy integrált vállalatirányítási rendszer (Pl. SAP R/3, Sun Systems, Ross Renassiance CS) akár 8-10 évre is megszabja – természetesen a szükséges fejlesztések, frissítések mellett – a vállalat üzleti fol</w:t>
      </w:r>
      <w:r>
        <w:t>yamatainak kereteit. De egy olyan egyszerűnek tűnő beruházás, mint egy vállalati szintű PC-állomány vagy irodai alkalmazás cser</w:t>
      </w:r>
      <w:r>
        <w:t>é</w:t>
      </w:r>
      <w:r>
        <w:t xml:space="preserve">je, szintén számos megfontolandó kérdést vet fel: </w:t>
      </w:r>
      <w:r>
        <w:rPr>
          <w:i/>
        </w:rPr>
        <w:t>Tevékenységünk jelleg szükségessé teszi-e az adott pillanatban elérhető csúcst</w:t>
      </w:r>
      <w:r>
        <w:rPr>
          <w:i/>
        </w:rPr>
        <w:t xml:space="preserve">echnológia követését? </w:t>
      </w:r>
      <w:r>
        <w:t xml:space="preserve">(lásd: Érdemes-e beruházni a Microsoft XP-re?) </w:t>
      </w:r>
      <w:r>
        <w:rPr>
          <w:i/>
        </w:rPr>
        <w:t>Illeszkedik-e a leendő eszköz a meglévőkhöz vagy hamarosan azok cseréjét is eredm</w:t>
      </w:r>
      <w:r>
        <w:rPr>
          <w:i/>
        </w:rPr>
        <w:t>é</w:t>
      </w:r>
      <w:r>
        <w:rPr>
          <w:i/>
        </w:rPr>
        <w:t>nyezi?</w:t>
      </w:r>
      <w:r>
        <w:t xml:space="preserve"> </w:t>
      </w:r>
      <w:r>
        <w:rPr>
          <w:i/>
        </w:rPr>
        <w:t xml:space="preserve">Milyen járulékos költségeket eredményez a beruházás? </w:t>
      </w:r>
      <w:r>
        <w:t>(pl. felhasználók és az IS képzése, kezdetben</w:t>
      </w:r>
      <w:r>
        <w:t xml:space="preserve"> megnövekedett támogatásigény, stb.)</w:t>
      </w:r>
    </w:p>
    <w:p w:rsidR="00000000" w:rsidRDefault="00943F0E">
      <w:r>
        <w:t>Az IT-menedzser előtt alapvetően két út áll, mikor egy beruházás megvalósítása a feladat: A szükséges rendszereket kialakíthatja a szervezet önmaga, illetve lehetséges, hogy egyes feladat</w:t>
      </w:r>
      <w:r>
        <w:t>o</w:t>
      </w:r>
      <w:r>
        <w:t>kat (adatközpontok üzemeltetése</w:t>
      </w:r>
      <w:r>
        <w:t>, hardvertámogatás, rendszerszoftver-üzemeltetés, telekommun</w:t>
      </w:r>
      <w:r>
        <w:t>i</w:t>
      </w:r>
      <w:r>
        <w:t>kációs szolgáltatások), szélsőséges esetben az egész IT-kompexum működtetését egy külső szo</w:t>
      </w:r>
      <w:r>
        <w:t>l</w:t>
      </w:r>
      <w:r>
        <w:t>gáltatóra bízza (outsourcing). Ez a megoldás meglehetősen népszerű a vállalatok között, így mi</w:t>
      </w:r>
      <w:r>
        <w:t>n</w:t>
      </w:r>
      <w:r>
        <w:t>denképpe</w:t>
      </w:r>
      <w:r>
        <w:t>n érdemes megfontolni – előnyeivel és hátrányaival együtt. Az IT-beruházások tervez</w:t>
      </w:r>
      <w:r>
        <w:t>é</w:t>
      </w:r>
      <w:r>
        <w:lastRenderedPageBreak/>
        <w:t xml:space="preserve">sénél. </w:t>
      </w:r>
      <w:r>
        <w:rPr>
          <w:smallCaps/>
        </w:rPr>
        <w:t xml:space="preserve">Szabó Zoltán </w:t>
      </w:r>
      <w:r>
        <w:t>az outsourcing kapcsán a következő főbb előnyöket és hátrányokat eml</w:t>
      </w:r>
      <w:r>
        <w:t>í</w:t>
      </w:r>
      <w:r>
        <w:t>ti (</w:t>
      </w:r>
      <w:r>
        <w:rPr>
          <w:b/>
        </w:rPr>
        <w:t>[6]</w:t>
      </w:r>
      <w:r>
        <w:t xml:space="preserve"> </w:t>
      </w:r>
      <w:r>
        <w:rPr>
          <w:smallCaps/>
        </w:rPr>
        <w:t>Szabó</w:t>
      </w:r>
      <w:r>
        <w:t>, 1997.):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4"/>
        <w:gridCol w:w="160"/>
        <w:gridCol w:w="485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  <w:shd w:val="pct15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Előnyök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54" w:type="dxa"/>
            <w:shd w:val="pct15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Hátrányok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szolgáltató specializálódhat az IT tev</w:t>
            </w:r>
            <w:r>
              <w:rPr>
                <w:rFonts w:ascii="Arial" w:hAnsi="Arial"/>
                <w:sz w:val="18"/>
              </w:rPr>
              <w:t>ékenységre, több vevőt szolgálhat ki.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5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Fő veszély a visszafordíthatatlanság; mivel a belső szaké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telem leépítése után a pótlás lassú és drága, illetve a szo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gáltató-váltás is nagy kockázattal jár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vevő megspórolhatja a költségek egy részét (pl. technika</w:t>
            </w:r>
            <w:r>
              <w:rPr>
                <w:rFonts w:ascii="Arial" w:hAnsi="Arial"/>
                <w:sz w:val="18"/>
              </w:rPr>
              <w:t>i beruházások, licenszdíjak)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5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Mivel nehéz a szolgáltató-váltás, a jelenlegi partner erőf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lénybe kerülhet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Hosszú távú megjósolhatóság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5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belső javítási lehetőségek rejtve maradnak.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személyzet az értékteremtő folyamatokra csoport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sítható át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 a szállít</w:t>
            </w:r>
            <w:r>
              <w:rPr>
                <w:rFonts w:ascii="Arial" w:hAnsi="Arial"/>
                <w:sz w:val="18"/>
              </w:rPr>
              <w:t>ó nem érti meg tökéletesen a vevő céljait, ig</w:t>
            </w:r>
            <w:r>
              <w:rPr>
                <w:rFonts w:ascii="Arial" w:hAnsi="Arial"/>
                <w:sz w:val="18"/>
              </w:rPr>
              <w:t>é</w:t>
            </w:r>
            <w:r>
              <w:rPr>
                <w:rFonts w:ascii="Arial" w:hAnsi="Arial"/>
                <w:sz w:val="18"/>
              </w:rPr>
              <w:t>nyeit, akkor a szolgáltatás színvonala drámaian leeshet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4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Áthidalhatóvá válik a speciális IT-szakértelem hiánya.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54" w:type="dxa"/>
            <w:tcBorders>
              <w:left w:val="nil"/>
              <w:bottom w:val="nil"/>
              <w:right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000000" w:rsidRDefault="00943F0E">
      <w:pPr>
        <w:pStyle w:val="Kpalrs"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táblázat: Az outsourcing előnyei és hátrányai (Forrás: </w:t>
      </w:r>
      <w:r>
        <w:rPr>
          <w:smallCaps/>
        </w:rPr>
        <w:t>Szabó</w:t>
      </w:r>
      <w:r>
        <w:t>, 199</w:t>
      </w:r>
      <w:r>
        <w:t>7.)</w:t>
      </w:r>
    </w:p>
    <w:p w:rsidR="00000000" w:rsidRDefault="00943F0E">
      <w:r>
        <w:t>Egy információs rendszer létrehozása, a rendszertervezés és -szervezés pénzügyi értelemben b</w:t>
      </w:r>
      <w:r>
        <w:t>e</w:t>
      </w:r>
      <w:r>
        <w:t>ruházásnak minősül. Ami azt jelenti, hogy ugyanolyan módszerekkel kell értékelni a rendszer lehetséges hatásait, figyelembe venni az érintettek körét, megterve</w:t>
      </w:r>
      <w:r>
        <w:t>zni a folyamatokat, mint mi</w:t>
      </w:r>
      <w:r>
        <w:t>n</w:t>
      </w:r>
      <w:r>
        <w:t>den más beruházásnál. Éppen ezért igen gyakori eljárás, hogy az IT-beruházások értékelését az egyéb beruházásoknál alkalmazott eljárás szerint végzik. Ebben az esetben jelentős nehézséggel kerülhetnek szembe: ugyanis az IT-rends</w:t>
      </w:r>
      <w:r>
        <w:t>zer „kimeneti oldalának” mérése módszertanilag rendk</w:t>
      </w:r>
      <w:r>
        <w:t>í</w:t>
      </w:r>
      <w:r>
        <w:t>vül kérdéses és – amint azt a későbbi fejezetekben látni fogjuk – a költségek megállapítása sem olyan egyszerű feladat, mint ahogy az első pillanatban látszik.</w:t>
      </w:r>
    </w:p>
    <w:p w:rsidR="00000000" w:rsidRDefault="00943F0E">
      <w:r>
        <w:t xml:space="preserve">A következő fejezetben azt vizsgálom, hogy </w:t>
      </w:r>
      <w:r>
        <w:t xml:space="preserve">melyek azok a hagyományos eljárások, amiket az IT-beruházások pénzügyi szempontból való értékelésében alkalmaznak, illetve melyek azok az IT-sajátosságok, amiket figyelembe kell venni ezen módszerek használatánál (Ezek sokszor az alkalmazhatóság korlátját </w:t>
      </w:r>
      <w:r>
        <w:t>is jelentik.).</w:t>
      </w:r>
    </w:p>
    <w:p w:rsidR="00000000" w:rsidRDefault="00943F0E"/>
    <w:p w:rsidR="00000000" w:rsidRDefault="00943F0E">
      <w:pPr>
        <w:pStyle w:val="Cmsor1"/>
      </w:pPr>
      <w:r>
        <w:br w:type="page"/>
      </w:r>
      <w:bookmarkStart w:id="3" w:name="_Toc536839185"/>
      <w:r>
        <w:lastRenderedPageBreak/>
        <w:t>Hagyományos pénzügyi elemzések</w:t>
      </w:r>
      <w:bookmarkEnd w:id="3"/>
    </w:p>
    <w:p w:rsidR="00000000" w:rsidRDefault="00943F0E">
      <w:r>
        <w:t>A klasszikus beruházások esetében az eszköz eredményezte hasznok viszonylag könnyen mérh</w:t>
      </w:r>
      <w:r>
        <w:t>e</w:t>
      </w:r>
      <w:r>
        <w:t>tők, Az információ esetében viszont ez távolról sem ennyire egyértelmű. Éppen ezért széles kö</w:t>
      </w:r>
      <w:r>
        <w:t>r</w:t>
      </w:r>
      <w:r>
        <w:t xml:space="preserve">ben elterjedt a </w:t>
      </w:r>
      <w:r>
        <w:rPr>
          <w:i/>
        </w:rPr>
        <w:t>„Mit kellene fizetnünk ezért, ha külső cégtől vennénk meg</w:t>
      </w:r>
      <w:r>
        <w:rPr>
          <w:i/>
        </w:rPr>
        <w:t>?”</w:t>
      </w:r>
      <w:r>
        <w:t xml:space="preserve"> típusú mérésmód. </w:t>
      </w:r>
    </w:p>
    <w:p w:rsidR="00000000" w:rsidRDefault="00943F0E">
      <w:r>
        <w:t>Talán a két leginkább ismert elemzési módszer a megtérülés vizsgálata (Return on Investment – ROI) illetve a költséghaszon elemzés (Cost-Benefit Analysis – CBA). Ezeket rendszeresen a</w:t>
      </w:r>
      <w:r>
        <w:t>l</w:t>
      </w:r>
      <w:r>
        <w:t>kalmazzák mindenfajta beruházás pénzügyi megvalósít</w:t>
      </w:r>
      <w:r>
        <w:t>hatóságának vizsgálatához, így termész</w:t>
      </w:r>
      <w:r>
        <w:t>e</w:t>
      </w:r>
      <w:r>
        <w:t>tesen – bizonyos megszorításokkal – az IT-beruházásokhoz is felhasználhatók.</w:t>
      </w:r>
    </w:p>
    <w:p w:rsidR="00000000" w:rsidRDefault="00943F0E">
      <w:pPr>
        <w:pStyle w:val="Cmsor2"/>
      </w:pPr>
      <w:bookmarkStart w:id="4" w:name="_Toc536839186"/>
      <w:r>
        <w:t>Megtérülési számítások (ROI)</w:t>
      </w:r>
      <w:bookmarkEnd w:id="4"/>
    </w:p>
    <w:p w:rsidR="00000000" w:rsidRDefault="00943F0E">
      <w:r>
        <w:t>A ROI-technikát klasszikus beruházásoknál (épületek, gépek) a tőkebefektetések elemzésére használják. Legegyszerűbb értelmezése. a nettó profitot a befektetett tőke százalékában fejezik ki. Ha tervezett beruházásról van szó, akkor a hányados alkalmas a var</w:t>
      </w:r>
      <w:r>
        <w:t>iációk összehasonlítására (</w:t>
      </w:r>
      <w:r>
        <w:rPr>
          <w:b/>
        </w:rPr>
        <w:t>[1]</w:t>
      </w:r>
      <w:r>
        <w:t xml:space="preserve"> </w:t>
      </w:r>
      <w:r>
        <w:rPr>
          <w:smallCaps/>
        </w:rPr>
        <w:t>Dobay</w:t>
      </w:r>
      <w:r>
        <w:t xml:space="preserve">, 1997). </w:t>
      </w:r>
    </w:p>
    <w:p w:rsidR="00000000" w:rsidRDefault="00943F0E">
      <w:r>
        <w:t xml:space="preserve">Komplexebb beruházások értékeléséhez számos hasonló sémát alakíthatunk ki </w:t>
      </w:r>
      <w:r>
        <w:rPr>
          <w:i/>
        </w:rPr>
        <w:t>(2. táblázat)</w:t>
      </w:r>
      <w:r>
        <w:t>, melyeke esetében minden olyan elemet számításba kell venni, amely többletkapacitásként jelenik meg a rendszerben: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60"/>
        <w:gridCol w:w="439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  <w:shd w:val="pct15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Fejlesz</w:t>
            </w:r>
            <w:r>
              <w:rPr>
                <w:rFonts w:ascii="Arial" w:hAnsi="Arial"/>
                <w:b/>
                <w:sz w:val="20"/>
              </w:rPr>
              <w:t>tési költségek: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0" w:type="dxa"/>
            <w:shd w:val="pct15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Folyamatos költségek: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Fejlesztési erőfeszítések (pl. programozás, adminisztráció)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Felhasználói szoftver karbantartása, fejlesztése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Új hardver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Többlet adattárolói igény költsége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Új, vásárolt szoftver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Többlet kommunikációs igény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Felhasználói képzés, oktatás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Új hardver és s</w:t>
            </w:r>
            <w:r>
              <w:rPr>
                <w:rFonts w:ascii="Arial" w:hAnsi="Arial"/>
                <w:sz w:val="18"/>
              </w:rPr>
              <w:t>zoftver lízingje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  <w:tcBorders>
              <w:bottom w:val="single" w:sz="4" w:space="0" w:color="auto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Egyéb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Kiegészítő szolgáltatások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  <w:tcBorders>
              <w:left w:val="nil"/>
              <w:bottom w:val="nil"/>
              <w:right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390" w:type="dxa"/>
          </w:tcPr>
          <w:p w:rsidR="00000000" w:rsidRDefault="00943F0E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Egyéb</w:t>
            </w:r>
          </w:p>
        </w:tc>
      </w:tr>
    </w:tbl>
    <w:p w:rsidR="00000000" w:rsidRDefault="00943F0E">
      <w:pPr>
        <w:pStyle w:val="Kpalrs"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táblázat: IT-beruházások költségelemzési sémája (Forrás: </w:t>
      </w:r>
      <w:r>
        <w:rPr>
          <w:smallCaps/>
        </w:rPr>
        <w:t>Dobay</w:t>
      </w:r>
      <w:r>
        <w:t>, 1997.)</w:t>
      </w:r>
    </w:p>
    <w:p w:rsidR="00000000" w:rsidRDefault="00943F0E">
      <w:r>
        <w:t>A költségoldal mellett meg kell jeleníteni a hasznokat is: a többletbevételt és a működési köl</w:t>
      </w:r>
      <w:r>
        <w:t>ts</w:t>
      </w:r>
      <w:r>
        <w:t>é</w:t>
      </w:r>
      <w:r>
        <w:t>gek csökkenését is. Mindezek alapján ki lehet számítani az éves nettó készpénzáramlást, és azt a beruházási (fejlesztési) költségekhez viszonyítva megkaphatjuk a ROI-t.</w:t>
      </w:r>
    </w:p>
    <w:p w:rsidR="00000000" w:rsidRDefault="00943F0E">
      <w:r>
        <w:rPr>
          <w:smallCaps/>
        </w:rPr>
        <w:t xml:space="preserve">Dobay Péter </w:t>
      </w:r>
      <w:r>
        <w:t>szerint a költségek és a hasznok összevetésének ez a viszonylag egyszerű</w:t>
      </w:r>
      <w:r>
        <w:t xml:space="preserve"> módsz</w:t>
      </w:r>
      <w:r>
        <w:t>e</w:t>
      </w:r>
      <w:r>
        <w:t>re arra használható, hogy számszerűsítse a célok, a költségvetés és az üzleti teljesítmény visz</w:t>
      </w:r>
      <w:r>
        <w:t>o</w:t>
      </w:r>
      <w:r>
        <w:t>nyát, és bemutassa a tulajdonosoknak, hogy mi is történt a pénzükkel. (</w:t>
      </w:r>
      <w:r>
        <w:rPr>
          <w:b/>
        </w:rPr>
        <w:t>[1]</w:t>
      </w:r>
      <w:r>
        <w:t xml:space="preserve"> </w:t>
      </w:r>
      <w:r>
        <w:rPr>
          <w:smallCaps/>
        </w:rPr>
        <w:t>Dobay</w:t>
      </w:r>
      <w:r>
        <w:t>, 1997.)</w:t>
      </w:r>
    </w:p>
    <w:p w:rsidR="00000000" w:rsidRDefault="00943F0E">
      <w:r>
        <w:t>A módszer egyik legfőbb hátránya, hogy nem veszi figyelembe azok</w:t>
      </w:r>
      <w:r>
        <w:t>at a közvetlenül nem szá</w:t>
      </w:r>
      <w:r>
        <w:t>m</w:t>
      </w:r>
      <w:r>
        <w:t>szerűsíthető tényezőket, melyek egy informatikai beruházás kapcsán tömegesen jelentkeznek. Emellett – ebben a formájában – nehezen alkalmazható olyan projektek esetében, ahol a fejles</w:t>
      </w:r>
      <w:r>
        <w:t>z</w:t>
      </w:r>
      <w:r>
        <w:t xml:space="preserve">tés hatása nem elsődlegesen az adott részleget </w:t>
      </w:r>
      <w:r>
        <w:t>érinti, hanem a szervezet nagyobb részét vagy eg</w:t>
      </w:r>
      <w:r>
        <w:t>é</w:t>
      </w:r>
      <w:r>
        <w:t>szét.</w:t>
      </w:r>
    </w:p>
    <w:p w:rsidR="00000000" w:rsidRDefault="00943F0E">
      <w:pPr>
        <w:pStyle w:val="Cmsor2"/>
      </w:pPr>
      <w:bookmarkStart w:id="5" w:name="_Toc536839187"/>
      <w:r>
        <w:lastRenderedPageBreak/>
        <w:t>Költség-haszon elemzés (CBA)</w:t>
      </w:r>
      <w:bookmarkEnd w:id="5"/>
    </w:p>
    <w:p w:rsidR="00000000" w:rsidRDefault="00943F0E">
      <w:r>
        <w:t xml:space="preserve">Részletesebb költségelemezést végezhetünk segítségével, mivel lehetőség van bizonyos nem számszerűsíthető – tehát ilyen értelemben szubjektív – elemek figyelembe vételére. </w:t>
      </w:r>
      <w:r>
        <w:t>Ilyen elemek lehetnek pl.. sebesség, pontosság, biztonság, megbízhatóság, jobb információellátás.</w:t>
      </w:r>
    </w:p>
    <w:p w:rsidR="00000000" w:rsidRDefault="00943F0E">
      <w:r>
        <w:t>A költség-haszon elemzések a hatvanas évektől kezdve széles körben hódított (így a különböző informatikai beruházások terén is), mivel számításba lehetett ven</w:t>
      </w:r>
      <w:r>
        <w:t>ni egyes nem számszerűsíthető tényezőket és bizonytalan elemeket is, így nagy segítséget nyújtott a döntési alternatívák közötti választásban.</w:t>
      </w:r>
    </w:p>
    <w:p w:rsidR="00000000" w:rsidRDefault="00943F0E">
      <w:r>
        <w:t>A tervezett rendszer élettartamára vonatkoztatva diszkontált készpénzáramlás-számítást kell v</w:t>
      </w:r>
      <w:r>
        <w:t>é</w:t>
      </w:r>
      <w:r>
        <w:t>gezni, figyelembe v</w:t>
      </w:r>
      <w:r>
        <w:t>éve a várható inflációt és kamatlábakat. A pénzügyi számítások területén számos ismert mutatót vehetünk figyelembe: nettó jelenérték (NPV), belső megtérülési ráta (IRR), visszafizetési peri</w:t>
      </w:r>
      <w:r>
        <w:t>ó</w:t>
      </w:r>
      <w:r>
        <w:t>dus.</w:t>
      </w:r>
    </w:p>
    <w:p w:rsidR="00000000" w:rsidRDefault="00943F0E">
      <w:r>
        <w:t>Ugyanakkor a hagyományos CBA azonban számos esetben nem haszn</w:t>
      </w:r>
      <w:r>
        <w:t>álható eredményesen (</w:t>
      </w:r>
      <w:r>
        <w:rPr>
          <w:b/>
        </w:rPr>
        <w:t>[1]</w:t>
      </w:r>
      <w:r>
        <w:t xml:space="preserve"> </w:t>
      </w:r>
      <w:r>
        <w:rPr>
          <w:smallCaps/>
        </w:rPr>
        <w:t>Dobay</w:t>
      </w:r>
      <w:r>
        <w:t>, 1997):</w:t>
      </w:r>
    </w:p>
    <w:p w:rsidR="00000000" w:rsidRDefault="00943F0E">
      <w:pPr>
        <w:numPr>
          <w:ilvl w:val="0"/>
          <w:numId w:val="38"/>
        </w:numPr>
      </w:pPr>
      <w:r>
        <w:t>Nincs „beruházás”, hanem sok kis „beszerzés” van.</w:t>
      </w:r>
    </w:p>
    <w:p w:rsidR="00000000" w:rsidRDefault="00943F0E">
      <w:pPr>
        <w:numPr>
          <w:ilvl w:val="0"/>
          <w:numId w:val="38"/>
        </w:numPr>
      </w:pPr>
      <w:r>
        <w:t>A kiépített rendszerek hatása nem egy megfigyelhető részlegben, megfogható tevéken</w:t>
      </w:r>
      <w:r>
        <w:t>y</w:t>
      </w:r>
      <w:r>
        <w:t>ségben realizálódik, hanem a vállalati működésben.</w:t>
      </w:r>
    </w:p>
    <w:p w:rsidR="00000000" w:rsidRDefault="00943F0E">
      <w:pPr>
        <w:numPr>
          <w:ilvl w:val="0"/>
          <w:numId w:val="38"/>
        </w:numPr>
      </w:pPr>
      <w:r>
        <w:t>Az üzembe állított rendszerelemek</w:t>
      </w:r>
      <w:r>
        <w:t>et egy folyamatba integrálják, ezért a hatások már nem különíthetők el egymástól.</w:t>
      </w:r>
    </w:p>
    <w:p w:rsidR="00000000" w:rsidRDefault="00943F0E">
      <w:pPr>
        <w:numPr>
          <w:ilvl w:val="0"/>
          <w:numId w:val="38"/>
        </w:numPr>
      </w:pPr>
      <w:r>
        <w:t>A nem számszerűsíthető tényezők (előnyök és hátrányok) egyre bővülő köre.</w:t>
      </w:r>
    </w:p>
    <w:p w:rsidR="00000000" w:rsidRDefault="00943F0E">
      <w:pPr>
        <w:pStyle w:val="Cmsor2"/>
      </w:pPr>
      <w:bookmarkStart w:id="6" w:name="_Toc536839188"/>
      <w:r>
        <w:t>Összegzés</w:t>
      </w:r>
      <w:bookmarkEnd w:id="6"/>
    </w:p>
    <w:p w:rsidR="00000000" w:rsidRDefault="00943F0E">
      <w:r>
        <w:t>Az IT-beruházások értékelésénél figyelembe kell venni, hogy a hagyományos (pl. CBA) elemz</w:t>
      </w:r>
      <w:r>
        <w:t>é</w:t>
      </w:r>
      <w:r>
        <w:t>sek igen fontos korláttal bírnak: nem képesek feldolgozni azt a komplex változást, amit egy i</w:t>
      </w:r>
      <w:r>
        <w:t>n</w:t>
      </w:r>
      <w:r>
        <w:t>formatikai rendszer gyakorol a vállalatra. Ugyan az egyik oldalról a rendszer hatására kimutath</w:t>
      </w:r>
      <w:r>
        <w:t>a</w:t>
      </w:r>
      <w:r>
        <w:t>tó haszonnövekedés jön létre a cégnél, viszont az is értékelendő l</w:t>
      </w:r>
      <w:r>
        <w:t>ehetőség (potenciális haszon), hogy a rendszer segítségével a szervezet megújítja kínálatát, új piacokra lép be, eddig ki nem használt stratégiai lehetőségeket fedez fel (</w:t>
      </w:r>
      <w:r>
        <w:rPr>
          <w:b/>
        </w:rPr>
        <w:t>[1]</w:t>
      </w:r>
      <w:r>
        <w:t xml:space="preserve"> </w:t>
      </w:r>
      <w:r>
        <w:rPr>
          <w:smallCaps/>
        </w:rPr>
        <w:t>Dobay</w:t>
      </w:r>
      <w:r>
        <w:t xml:space="preserve">, 1997). </w:t>
      </w:r>
    </w:p>
    <w:p w:rsidR="00000000" w:rsidRDefault="00943F0E">
      <w:r>
        <w:t xml:space="preserve">Nehezen határozható meg például annak az értéke, ha a szervezetet </w:t>
      </w:r>
      <w:r>
        <w:t>partnerei innovatív vállala</w:t>
      </w:r>
      <w:r>
        <w:t>t</w:t>
      </w:r>
      <w:r>
        <w:t>nak tartják, mivel a legújabb technológiát egyedi módon alkalmazza. Ez a pozitív oldalt tekintve nyilván járhat költségcsökkentéssel, bevételnöveléssel (ezek elég jól mérhetők), illetve bizonyos szektorokban a partnerek szíveseb</w:t>
      </w:r>
      <w:r>
        <w:t>ben működ(het)nek együtt egy ilyen vállalattal (ennek hatása nem könnyen mérhető és nagyon esetleges). A negatívumokat vizsgálva elmondhatjuk, hogy ez a stratégia bizonyos költségek emelkedését és az új technológia kockázatának növekedését oko</w:t>
      </w:r>
      <w:r>
        <w:t>z</w:t>
      </w:r>
      <w:r>
        <w:t>hatja.</w:t>
      </w:r>
    </w:p>
    <w:p w:rsidR="00000000" w:rsidRDefault="00943F0E">
      <w:r>
        <w:t>Tehát</w:t>
      </w:r>
      <w:r>
        <w:t xml:space="preserve"> mindenképpen azt mondhatjuk, hogy a más beruházásoknál alkalmazott pénzügyi számít</w:t>
      </w:r>
      <w:r>
        <w:t>á</w:t>
      </w:r>
      <w:r>
        <w:t>sok az IT-projketek esetében csak bizonyos feltételek esetében alkalmazhatók. Az egyik legfo</w:t>
      </w:r>
      <w:r>
        <w:t>n</w:t>
      </w:r>
      <w:r>
        <w:t>tosabb szempont, hogy az IT a vállalat egész területén fejti ki hatását (költsé</w:t>
      </w:r>
      <w:r>
        <w:t>gek és hasznok), ezért értékeléséhez is átfogó módszert kell alkalmazni. Talán a egyik legtöbbet emlegetett ilyen eljárás a GartnerGroup által kifejlesztett Total Cost of Ownership (TCO), melyről a következő fejezetben igyekszem áttekintést adni.</w:t>
      </w:r>
    </w:p>
    <w:p w:rsidR="00000000" w:rsidRDefault="00943F0E">
      <w:pPr>
        <w:pStyle w:val="Cmsor1"/>
      </w:pPr>
      <w:r>
        <w:br w:type="page"/>
      </w:r>
      <w:bookmarkStart w:id="7" w:name="_Toc536839189"/>
      <w:r>
        <w:lastRenderedPageBreak/>
        <w:t>Total Co</w:t>
      </w:r>
      <w:r>
        <w:t>st of Ownership (TCO)</w:t>
      </w:r>
      <w:bookmarkEnd w:id="7"/>
    </w:p>
    <w:p w:rsidR="00000000" w:rsidRDefault="00943F0E">
      <w:r>
        <w:t>A GartnerGroup az 1990-es évek elején alkotta meg a TCO-modellt, mely kiváló eszköz az IT-infrastruktúra monitoringához, a birtokolt és használt szoftver és hardver közvetlen és közvetett költs</w:t>
      </w:r>
      <w:r>
        <w:t>é</w:t>
      </w:r>
      <w:r>
        <w:t>geinek elemzéséhez. A módszer lényege az</w:t>
      </w:r>
      <w:r>
        <w:t xml:space="preserve"> alábbiakban foglalható össze:</w:t>
      </w:r>
    </w:p>
    <w:p w:rsidR="00000000" w:rsidRDefault="00943F0E">
      <w:pPr>
        <w:pStyle w:val="Szvegtrzs"/>
        <w:rPr>
          <w:i w:val="0"/>
        </w:rPr>
      </w:pPr>
      <w:r>
        <w:t>„TCO: az IT-infrastruktúra összes lehetséges költsége – beleértve a beszerzés, a telepítés, a m</w:t>
      </w:r>
      <w:r>
        <w:t>e</w:t>
      </w:r>
      <w:r>
        <w:t>nedzsment, a támogatás és a használat költségeit – az adott szervezeten belül, a teljes élettarta</w:t>
      </w:r>
      <w:r>
        <w:t>m</w:t>
      </w:r>
      <w:r>
        <w:t>ra vonatkoztatva.”</w:t>
      </w:r>
      <w:r>
        <w:rPr>
          <w:i w:val="0"/>
        </w:rPr>
        <w:t xml:space="preserve"> (GartnerGrou</w:t>
      </w:r>
      <w:r>
        <w:rPr>
          <w:i w:val="0"/>
        </w:rPr>
        <w:t>p)</w:t>
      </w:r>
    </w:p>
    <w:p w:rsidR="00000000" w:rsidRDefault="00943F0E">
      <w:pPr>
        <w:pStyle w:val="Szvegtrzs"/>
        <w:rPr>
          <w:i w:val="0"/>
        </w:rPr>
      </w:pPr>
      <w:r>
        <w:rPr>
          <w:i w:val="0"/>
        </w:rPr>
        <w:t>Modelljük legfőbb erénye, hogy szakít azzal a szemlélettel, hogy ha a beruházásnál a költségeket döntő súllyal veszik figyelembe, akkor elsősorban a beszerzési költségeket, másodsorban az üzemeltetési költségeket tekintik döntési kritériumnak. A TCO ezz</w:t>
      </w:r>
      <w:r>
        <w:rPr>
          <w:i w:val="0"/>
        </w:rPr>
        <w:t>el szemben minden olyan köl</w:t>
      </w:r>
      <w:r>
        <w:rPr>
          <w:i w:val="0"/>
        </w:rPr>
        <w:t>t</w:t>
      </w:r>
      <w:r>
        <w:rPr>
          <w:i w:val="0"/>
        </w:rPr>
        <w:t>séget számításba vesz, amit az eszköz az élettartama alatt okoz, vagyis sokkal teljesebb képet ad arról, hogy mibe is kerül a szervezetnek a szóban forgó beruházás.</w:t>
      </w:r>
    </w:p>
    <w:p w:rsidR="00000000" w:rsidRDefault="00943F0E">
      <w:pPr>
        <w:pStyle w:val="Szvegtrzs"/>
        <w:rPr>
          <w:i w:val="0"/>
        </w:rPr>
      </w:pPr>
      <w:r>
        <w:rPr>
          <w:i w:val="0"/>
        </w:rPr>
        <w:t>Természetesen a GartnerGroup-nak sem sikerült megtalálnia a „bö</w:t>
      </w:r>
      <w:r>
        <w:rPr>
          <w:i w:val="0"/>
        </w:rPr>
        <w:t>lcsek kövét”, vagyis nem alk</w:t>
      </w:r>
      <w:r>
        <w:rPr>
          <w:i w:val="0"/>
        </w:rPr>
        <w:t>o</w:t>
      </w:r>
      <w:r>
        <w:rPr>
          <w:i w:val="0"/>
        </w:rPr>
        <w:t>tott (nem is alkothatott) egyetlen, minden esetre alkalmazható modellt, hanem az egyes IT- illetve IS-területekhez készítette azt a vázat, amely mentén a szervezetek elvégezhetik az elemzést. A legfontosabb területek közül néhá</w:t>
      </w:r>
      <w:r>
        <w:rPr>
          <w:i w:val="0"/>
        </w:rPr>
        <w:t>ny: megosztott számítógépes környezet, adathálózat, hagyom</w:t>
      </w:r>
      <w:r>
        <w:rPr>
          <w:i w:val="0"/>
        </w:rPr>
        <w:t>á</w:t>
      </w:r>
      <w:r>
        <w:rPr>
          <w:i w:val="0"/>
        </w:rPr>
        <w:t>nyos (telefon) kommunikációs hálózat, szervizszolgáltatási központ. (A továbbiakban a megos</w:t>
      </w:r>
      <w:r>
        <w:rPr>
          <w:i w:val="0"/>
        </w:rPr>
        <w:t>z</w:t>
      </w:r>
      <w:r>
        <w:rPr>
          <w:i w:val="0"/>
        </w:rPr>
        <w:t>tott számítógépes környezetre vonatkozó tudnivalókkal foglalkozom, tekintve, hogy ez a legi</w:t>
      </w:r>
      <w:r>
        <w:rPr>
          <w:i w:val="0"/>
        </w:rPr>
        <w:t>n</w:t>
      </w:r>
      <w:r>
        <w:rPr>
          <w:i w:val="0"/>
        </w:rPr>
        <w:t>kább közismer</w:t>
      </w:r>
      <w:r>
        <w:rPr>
          <w:i w:val="0"/>
        </w:rPr>
        <w:t>t változata a modellnek)</w:t>
      </w:r>
    </w:p>
    <w:p w:rsidR="00000000" w:rsidRDefault="00943F0E">
      <w:pPr>
        <w:pStyle w:val="Cmsor2"/>
      </w:pPr>
      <w:bookmarkStart w:id="8" w:name="_Toc536839190"/>
      <w:r>
        <w:t>Miért mérjük a TCO-t?</w:t>
      </w:r>
      <w:bookmarkEnd w:id="8"/>
    </w:p>
    <w:p w:rsidR="00000000" w:rsidRDefault="00943F0E">
      <w:pPr>
        <w:rPr>
          <w:b/>
        </w:rPr>
      </w:pPr>
      <w:r>
        <w:t xml:space="preserve">A Compaq által végzett felmérés – melyet több száz pénzügyi és IT-vezető között végeztek el – azt mutatta ki, hogy 25-ből csak egy pénzügyi döntéshozó veszi azt figyelembe, hogy az IT-beruházások költségeinek </w:t>
      </w:r>
      <w:r>
        <w:t>nagyobb hányada a bevezetés után jelentkezik (akár a teljes összeg 80%-a is lehet). Ezzel szemben a döntéshozók nagy része az IT-beruházási költségeinek kontrol</w:t>
      </w:r>
      <w:r>
        <w:t>l</w:t>
      </w:r>
      <w:r>
        <w:t xml:space="preserve">jára összpontosít a telepítés utáni költségek helyett. </w:t>
      </w:r>
      <w:r>
        <w:rPr>
          <w:b/>
        </w:rPr>
        <w:t>[9]</w:t>
      </w:r>
    </w:p>
    <w:p w:rsidR="00000000" w:rsidRDefault="00943F0E">
      <w:r>
        <w:t>A GartnerGroup kutatásai szerint a h</w:t>
      </w:r>
      <w:r>
        <w:t>álózatok bővülése, az intranetes, extranetes felépítés térhód</w:t>
      </w:r>
      <w:r>
        <w:t>í</w:t>
      </w:r>
      <w:r>
        <w:t xml:space="preserve">tása alapvetően megváltoztatta a berendezések élettartama alatt adódó költségek megoszlását. Az adatközpontokban, illetve az egyedülálló asztali gépeknél a hardver beszerzési költségei a teljes </w:t>
      </w:r>
      <w:r>
        <w:t>ráfordítás közel 50 százalékát, a szerviz- és a karbantartási költségek pedig mindössze a 28 száz</w:t>
      </w:r>
      <w:r>
        <w:t>a</w:t>
      </w:r>
      <w:r>
        <w:t>lékát teszik ki, a kliens–szerver rendszereknél viszont az utóbbiak részesedése az összes költsé</w:t>
      </w:r>
      <w:r>
        <w:t>g</w:t>
      </w:r>
      <w:r>
        <w:t>ből eléri a 77 százalékot. Hálózati munkaállomásoknál tehát a</w:t>
      </w:r>
      <w:r>
        <w:t xml:space="preserve"> hardver és a szoftver beszerzése alig 20 százalékos részt képvisel a gépek élettartama alatt várható költségekből. (</w:t>
      </w:r>
      <w:r>
        <w:rPr>
          <w:b/>
        </w:rPr>
        <w:t>[2]</w:t>
      </w:r>
      <w:r>
        <w:t xml:space="preserve"> </w:t>
      </w:r>
      <w:r>
        <w:rPr>
          <w:smallCaps/>
        </w:rPr>
        <w:t>Kelenhegyi</w:t>
      </w:r>
      <w:r>
        <w:t>, 1999)</w:t>
      </w:r>
    </w:p>
    <w:p w:rsidR="00000000" w:rsidRDefault="00943F0E">
      <w:r>
        <w:t>Az IT-költségek pontos meghatározása és nyomon követése elég nagy kihívást jelent, mivel a költségdefiníciók az egyes</w:t>
      </w:r>
      <w:r>
        <w:t xml:space="preserve"> TCO-modellekben eltérhetnek, egy adott költség több részleget is te</w:t>
      </w:r>
      <w:r>
        <w:t>r</w:t>
      </w:r>
      <w:r>
        <w:t>hel, illetve egyes költségek léte – annak ellenére, hogy valóságosak – nem igazán kézenfekvő. Továbbá a vállalatoknál alkalmazott számlázási mechanizmusok rendszerint nem alkalmasak az az</w:t>
      </w:r>
      <w:r>
        <w:t>onosítható és a rejtett költségek nyilvántartá</w:t>
      </w:r>
      <w:r>
        <w:t>s</w:t>
      </w:r>
      <w:r>
        <w:t xml:space="preserve">ára. </w:t>
      </w:r>
      <w:r>
        <w:rPr>
          <w:b/>
        </w:rPr>
        <w:t>[9]</w:t>
      </w:r>
    </w:p>
    <w:p w:rsidR="00000000" w:rsidRDefault="00943F0E">
      <w:r>
        <w:t xml:space="preserve">Ezen pontok bármelyike nagyon megnehezíti a TCO bevezetését fontolgató szervezet számára mind az alkalmazandó modell kiválasztását, mind pedig a követendő költségek meghatározását. </w:t>
      </w:r>
      <w:r>
        <w:lastRenderedPageBreak/>
        <w:t>Valójában minden TC</w:t>
      </w:r>
      <w:r>
        <w:t>O-modellnek vannak olyan vonatkozásai, melyeket érdemes megfontolni, és sok esetben célszerűen olyan hibrid modellt fejleszteni, mely mind az IT-környezet, mind a támogatandó folyamatok igényeihez illeszkedik.</w:t>
      </w:r>
    </w:p>
    <w:p w:rsidR="00000000" w:rsidRDefault="00943F0E">
      <w:pPr>
        <w:pStyle w:val="Cmsor2"/>
      </w:pPr>
      <w:bookmarkStart w:id="9" w:name="_Toc536839191"/>
      <w:r>
        <w:t>A TCO haszna</w:t>
      </w:r>
      <w:bookmarkEnd w:id="9"/>
    </w:p>
    <w:p w:rsidR="00000000" w:rsidRDefault="00943F0E">
      <w:r>
        <w:t xml:space="preserve">A TCO bevezetése és következetes </w:t>
      </w:r>
      <w:r>
        <w:t xml:space="preserve">használata nyomán a következő alapvető információkhoz juthatunk hozzá, illetve haszonra tehetünk szert </w:t>
      </w:r>
      <w:r>
        <w:rPr>
          <w:b/>
        </w:rPr>
        <w:t>[10]</w:t>
      </w:r>
      <w:r>
        <w:t>:</w:t>
      </w:r>
    </w:p>
    <w:p w:rsidR="00000000" w:rsidRDefault="00943F0E">
      <w:pPr>
        <w:numPr>
          <w:ilvl w:val="0"/>
          <w:numId w:val="19"/>
        </w:numPr>
      </w:pPr>
      <w:r>
        <w:t>A jelenlegi és a jövőbeli költségek és erőforrások, melyek a számítógépes környezet lé</w:t>
      </w:r>
      <w:r>
        <w:t>t</w:t>
      </w:r>
      <w:r>
        <w:t>rehozásához, fenntartásához és támogatásához szükségesek, (e</w:t>
      </w:r>
      <w:r>
        <w:t>záltal megfelelve a felhas</w:t>
      </w:r>
      <w:r>
        <w:t>z</w:t>
      </w:r>
      <w:r>
        <w:t>nálók elvárásainak és az üzleti igényeknek)</w:t>
      </w:r>
    </w:p>
    <w:p w:rsidR="00000000" w:rsidRDefault="00943F0E">
      <w:pPr>
        <w:numPr>
          <w:ilvl w:val="0"/>
          <w:numId w:val="19"/>
        </w:numPr>
      </w:pPr>
      <w:r>
        <w:t>A maximális üzleti hatékonyság érdekében jól megalapozott döntések hozatala az IS-személyzeti politika, a hálózati támogatás és az IS-képzés területein.</w:t>
      </w:r>
    </w:p>
    <w:p w:rsidR="00000000" w:rsidRDefault="00943F0E">
      <w:pPr>
        <w:numPr>
          <w:ilvl w:val="0"/>
          <w:numId w:val="19"/>
        </w:numPr>
      </w:pPr>
      <w:r>
        <w:t>Ezen környezetek beszerzésére, f</w:t>
      </w:r>
      <w:r>
        <w:t>enntartására és támogatására születő alternatívák érték</w:t>
      </w:r>
      <w:r>
        <w:t>e</w:t>
      </w:r>
      <w:r>
        <w:t>lése.</w:t>
      </w:r>
    </w:p>
    <w:p w:rsidR="00000000" w:rsidRDefault="00943F0E">
      <w:pPr>
        <w:numPr>
          <w:ilvl w:val="0"/>
          <w:numId w:val="19"/>
        </w:numPr>
      </w:pPr>
      <w:r>
        <w:t>Megvalósítható tervek és költségvetés készítése melyek segítségével bevezethető a kiv</w:t>
      </w:r>
      <w:r>
        <w:t>á</w:t>
      </w:r>
      <w:r>
        <w:t>lasztott alternatíva.</w:t>
      </w:r>
    </w:p>
    <w:p w:rsidR="00000000" w:rsidRDefault="00943F0E">
      <w:r>
        <w:t xml:space="preserve">Az alapinformációk rendszeres frissítése olyan eszközhöz juttatja a vezetést, mellyel </w:t>
      </w:r>
      <w:r>
        <w:t>lehetővé válik a számítógépes környezet hatékonyságának folyamatos mérése.</w:t>
      </w:r>
    </w:p>
    <w:p w:rsidR="00000000" w:rsidRDefault="00943F0E">
      <w:pPr>
        <w:pStyle w:val="Cmsor2"/>
      </w:pPr>
      <w:bookmarkStart w:id="10" w:name="_Toc536839192"/>
      <w:r>
        <w:t>A TCO költségkategóriái (Chart of Accounts)</w:t>
      </w:r>
      <w:bookmarkEnd w:id="10"/>
    </w:p>
    <w:p w:rsidR="00000000" w:rsidRDefault="00943F0E">
      <w:r>
        <w:t>A költségkategóriák általában a szervezetek pénzügyi tranzakcióinak alapvető rögzítésére szo</w:t>
      </w:r>
      <w:r>
        <w:t>l</w:t>
      </w:r>
      <w:r>
        <w:t xml:space="preserve">gálnak. Minden számlának van száma és neve, </w:t>
      </w:r>
      <w:r>
        <w:t>melyek függnek a számla típusától, így segítenek annak azonosításában.</w:t>
      </w:r>
    </w:p>
    <w:p w:rsidR="00000000" w:rsidRDefault="00943F0E">
      <w:r>
        <w:t>Az új GartnerGroup-féle TCO-modell lehetővé teszi a költségek csoportba sorolását, melyek így következetes, megbízható és részletes módon szimulálhatók és elemezhetők. Konzisztens köl</w:t>
      </w:r>
      <w:r>
        <w:t>t</w:t>
      </w:r>
      <w:r>
        <w:t>s</w:t>
      </w:r>
      <w:r>
        <w:t>égkategóriák nélkül, mikor a költségeket eltérő csoportokba sorolják, nem lehetséges az össz</w:t>
      </w:r>
      <w:r>
        <w:t>e</w:t>
      </w:r>
      <w:r>
        <w:t xml:space="preserve">hasonlítás és ebből következtetések levonása. </w:t>
      </w:r>
    </w:p>
    <w:p w:rsidR="00000000" w:rsidRDefault="00943F0E">
      <w:r>
        <w:t>Az IS költségkalkuláció ugyanúgy magában foglalja a hagyományos IS-költségek (pl. beruházás, munka, tanácsadási díja</w:t>
      </w:r>
      <w:r>
        <w:t>k, tevékenységek, alvállalkozók) elemzését, mint a nehezebben meghat</w:t>
      </w:r>
      <w:r>
        <w:t>á</w:t>
      </w:r>
      <w:r>
        <w:t xml:space="preserve">rozható és mérhető közvetett költségeket (a munkatárs és önmaga támogatás és az állásidő) is. </w:t>
      </w:r>
    </w:p>
    <w:p w:rsidR="00000000" w:rsidRDefault="00943F0E">
      <w:pPr>
        <w:pStyle w:val="Cmsor3"/>
      </w:pPr>
      <w:bookmarkStart w:id="11" w:name="_Toc536839193"/>
      <w:r>
        <w:t>Áttekintés</w:t>
      </w:r>
      <w:bookmarkEnd w:id="11"/>
    </w:p>
    <w:p w:rsidR="00000000" w:rsidRDefault="00943F0E">
      <w:r>
        <w:t xml:space="preserve">A TCO-modell két fő kategóriát használ a költségek rendszerezésére </w:t>
      </w:r>
      <w:r>
        <w:rPr>
          <w:b/>
        </w:rPr>
        <w:t>[8]</w:t>
      </w:r>
      <w:r>
        <w:t>:</w:t>
      </w:r>
    </w:p>
    <w:p w:rsidR="00000000" w:rsidRDefault="00943F0E">
      <w:pPr>
        <w:numPr>
          <w:ilvl w:val="0"/>
          <w:numId w:val="21"/>
        </w:numPr>
      </w:pPr>
      <w:r>
        <w:rPr>
          <w:i/>
        </w:rPr>
        <w:t>Közvetlen</w:t>
      </w:r>
      <w:r>
        <w:rPr>
          <w:i/>
        </w:rPr>
        <w:t xml:space="preserve">  költségek:</w:t>
      </w:r>
      <w:r>
        <w:t xml:space="preserve"> A beruházási költségek, a díjak és a személyi kifizetések, melyeket az IS-részleg vagy üzleti egység költ el, mely IT-szolgáltatásokat vagy megoldásokat bi</w:t>
      </w:r>
      <w:r>
        <w:t>z</w:t>
      </w:r>
      <w:r>
        <w:t>tosít a szervezetnek és a felhasználóknak. A költségek magukban foglalják a hardver- és</w:t>
      </w:r>
      <w:r>
        <w:t xml:space="preserve"> szoftverkiadásokat; az IS-műveletek, a szervízszolgáltatás, az IS-finanszírozás és –adminisztráció személyi költségeit, illetve az alvállalkozók által végzett menedzsment és támogatási díjakat. </w:t>
      </w:r>
    </w:p>
    <w:p w:rsidR="00000000" w:rsidRDefault="00943F0E">
      <w:pPr>
        <w:numPr>
          <w:ilvl w:val="0"/>
          <w:numId w:val="21"/>
        </w:numPr>
      </w:pPr>
      <w:r>
        <w:rPr>
          <w:i/>
        </w:rPr>
        <w:t>Közvetett költségek:</w:t>
      </w:r>
      <w:r>
        <w:t xml:space="preserve"> Annak a hatékonyságát mérik, ahogyan az</w:t>
      </w:r>
      <w:r>
        <w:t xml:space="preserve"> IS a végfelhasználóknak az általuk elvárt szolgáltatásokat biztosítja. Ha az IS-menedzsment és az IS-megoldások </w:t>
      </w:r>
      <w:r>
        <w:lastRenderedPageBreak/>
        <w:t>hatékonyak, a felhasználó nem szorul munkatársára vagy önmaga támogatására (peer- and self support), illetve az állásidő is csökken. Ha azonban</w:t>
      </w:r>
      <w:r>
        <w:t xml:space="preserve"> nem hatékony, mindez termész</w:t>
      </w:r>
      <w:r>
        <w:t>e</w:t>
      </w:r>
      <w:r>
        <w:t>tesen növekszik.</w:t>
      </w:r>
    </w:p>
    <w:p w:rsidR="00000000" w:rsidRDefault="00943F0E">
      <w:pPr>
        <w:ind w:left="720"/>
      </w:pPr>
      <w:r>
        <w:t>A legtöbb szervezetben ezek a költségek rejtve maradnak, nem mérik és nem követik őket. Emiatt abban az esetben, ha a szervezet közvetlen költségeket csökkentő program</w:t>
      </w:r>
      <w:r>
        <w:t>o</w:t>
      </w:r>
      <w:r>
        <w:t>kat indít, ezáltal tudattalanul is a végs</w:t>
      </w:r>
      <w:r>
        <w:t>ő felhasználókat terhelik meg. A GartnerGroup k</w:t>
      </w:r>
      <w:r>
        <w:t>u</w:t>
      </w:r>
      <w:r>
        <w:t>tatásai alapján a nem hatékony vagy a túl agresszív költségcsökkentés 4$-nyi hatékon</w:t>
      </w:r>
      <w:r>
        <w:t>y</w:t>
      </w:r>
      <w:r>
        <w:t xml:space="preserve">ságveszteséget eredményez minden 1$-nyi megtakarítás mellett. A közvetett költség az IS-kiadások másodrendű hatásának vagy </w:t>
      </w:r>
      <w:r>
        <w:t>a hatás hiányának tekinthető. Nem mérhető kö</w:t>
      </w:r>
      <w:r>
        <w:t>z</w:t>
      </w:r>
      <w:r>
        <w:t>vetlenül, de a hatékony IS-költekezés pozitív hatással van a felhasználói hatékonyságra, illetve a nem hatékony kiadások vagy a költségcsökkentés nagyobb hatékonyságvesztes</w:t>
      </w:r>
      <w:r>
        <w:t>é</w:t>
      </w:r>
      <w:r>
        <w:t>get okoz, mint amennyi a megtakar</w:t>
      </w:r>
      <w:r>
        <w:t>í</w:t>
      </w:r>
      <w:r>
        <w:t>tás.</w:t>
      </w:r>
    </w:p>
    <w:p w:rsidR="00000000" w:rsidRDefault="00943F0E">
      <w:r>
        <w:t>A következő fő kategóriák különíthetők el a GartnerGroup TCO-modelljében:</w:t>
      </w:r>
    </w:p>
    <w:p w:rsidR="00000000" w:rsidRDefault="00943F0E">
      <w:pPr>
        <w:numPr>
          <w:ilvl w:val="0"/>
          <w:numId w:val="22"/>
        </w:numPr>
      </w:pPr>
      <w:r>
        <w:rPr>
          <w:b/>
        </w:rPr>
        <w:t xml:space="preserve">Direkt költségek: </w:t>
      </w:r>
      <w:r>
        <w:t>az IS közvetlen kiadásait méri (tőke, munka, díjak)</w:t>
      </w:r>
    </w:p>
    <w:p w:rsidR="00000000" w:rsidRDefault="00943F0E">
      <w:pPr>
        <w:numPr>
          <w:ilvl w:val="1"/>
          <w:numId w:val="22"/>
        </w:numPr>
      </w:pPr>
      <w:r>
        <w:rPr>
          <w:i/>
        </w:rPr>
        <w:t xml:space="preserve">Hardver és szoftver: </w:t>
      </w:r>
      <w:r>
        <w:t>A hardver- és szoftverberuházások és a hardver bérleti díjak, amennyiben azok a vállalat m</w:t>
      </w:r>
      <w:r>
        <w:t>egosztott számítógépes vagyonához kapcsolódnak (ideértve a szervereket, kliensgépeket – mobil és asztali gépek –, perifériák és a hálózat). Ide tartoznak az IS hardver- és szoftverk</w:t>
      </w:r>
      <w:r>
        <w:t>i</w:t>
      </w:r>
      <w:r>
        <w:t>adásai is.</w:t>
      </w:r>
    </w:p>
    <w:p w:rsidR="00000000" w:rsidRDefault="00943F0E">
      <w:pPr>
        <w:numPr>
          <w:ilvl w:val="1"/>
          <w:numId w:val="22"/>
        </w:numPr>
      </w:pPr>
      <w:r>
        <w:rPr>
          <w:i/>
        </w:rPr>
        <w:t xml:space="preserve">Működtetés (operation) (korábban Menedzsment): </w:t>
      </w:r>
      <w:r>
        <w:t>a közvetlen szem</w:t>
      </w:r>
      <w:r>
        <w:t>élyi jellegű költségek (labor staffing), tevékenységek költségei, alvállalkozói díjak, melyek a vállalati, üzleti egységi vagy részleg-szintű IS használ fel ahhoz, hogy technikai támogatást nyújtson és infrastrukturális műveleteket végezzen a felhasználó s</w:t>
      </w:r>
      <w:r>
        <w:t>z</w:t>
      </w:r>
      <w:r>
        <w:t>á</w:t>
      </w:r>
      <w:r>
        <w:t>mára.</w:t>
      </w:r>
    </w:p>
    <w:p w:rsidR="00000000" w:rsidRDefault="00943F0E">
      <w:pPr>
        <w:numPr>
          <w:ilvl w:val="1"/>
          <w:numId w:val="22"/>
        </w:numPr>
      </w:pPr>
      <w:r>
        <w:rPr>
          <w:i/>
        </w:rPr>
        <w:t>Adminisztráció (korábban Támogatás):</w:t>
      </w:r>
      <w:r>
        <w:t xml:space="preserve"> a közvetlen személyi jellegű költségek (labor staffing), tevékenységek költségei, alvállalkozói díjak, melyek az IS-műveletek támogatására merültek fel (felügyelő menedzsment, finanszírozás, b</w:t>
      </w:r>
      <w:r>
        <w:t>e</w:t>
      </w:r>
      <w:r>
        <w:t>szerzés és képzés)</w:t>
      </w:r>
      <w:r>
        <w:t xml:space="preserve">. </w:t>
      </w:r>
    </w:p>
    <w:p w:rsidR="00000000" w:rsidRDefault="00943F0E">
      <w:pPr>
        <w:numPr>
          <w:ilvl w:val="0"/>
          <w:numId w:val="22"/>
        </w:numPr>
      </w:pPr>
      <w:r>
        <w:rPr>
          <w:b/>
        </w:rPr>
        <w:t>Indirekt költségek:</w:t>
      </w:r>
      <w:r>
        <w:rPr>
          <w:i/>
        </w:rPr>
        <w:t xml:space="preserve"> </w:t>
      </w:r>
      <w:r>
        <w:t>Az IS tőke- és munkajellegű kiadásaink hatékonyságát értékeli azo</w:t>
      </w:r>
      <w:r>
        <w:t>k</w:t>
      </w:r>
      <w:r>
        <w:t>nak a felhasználóra gyakorolt hatásán keresztül, mérése a felhasználói tevékenységek h</w:t>
      </w:r>
      <w:r>
        <w:t>a</w:t>
      </w:r>
      <w:r>
        <w:t>tékonyság-veszteségén és a leállásokon keresztül történik.</w:t>
      </w:r>
    </w:p>
    <w:p w:rsidR="00000000" w:rsidRDefault="00943F0E">
      <w:pPr>
        <w:numPr>
          <w:ilvl w:val="1"/>
          <w:numId w:val="22"/>
        </w:numPr>
      </w:pPr>
      <w:r>
        <w:rPr>
          <w:i/>
        </w:rPr>
        <w:t>Felhasználói tevékeny</w:t>
      </w:r>
      <w:r>
        <w:rPr>
          <w:i/>
        </w:rPr>
        <w:t xml:space="preserve">ségek: </w:t>
      </w:r>
      <w:r>
        <w:t>Annak költsége, hogy a felhasználók egymást és saját magukat támogatják ahelyett, hogy a hivatalos IS-támogatásra hagyatkoznának. A költségek közé tartozik a munkatárs és önmaga támogatása, a felhasználók hivat</w:t>
      </w:r>
      <w:r>
        <w:t>a</w:t>
      </w:r>
      <w:r>
        <w:t>los képzése, a nem hivatalos képzés, a</w:t>
      </w:r>
      <w:r>
        <w:t>z alkalmazások önálló módosít</w:t>
      </w:r>
      <w:r>
        <w:t>á</w:t>
      </w:r>
      <w:r>
        <w:t>sa/fejlesztése, a helyi állomány-karbantartás illetve a számítógép „nem rendelt</w:t>
      </w:r>
      <w:r>
        <w:t>e</w:t>
      </w:r>
      <w:r>
        <w:t>tésszerű” (pl. játék, internetezés) használata.</w:t>
      </w:r>
    </w:p>
    <w:p w:rsidR="00000000" w:rsidRDefault="00943F0E">
      <w:pPr>
        <w:numPr>
          <w:ilvl w:val="1"/>
          <w:numId w:val="22"/>
        </w:numPr>
      </w:pPr>
      <w:r>
        <w:rPr>
          <w:i/>
        </w:rPr>
        <w:t xml:space="preserve">Állásidő: </w:t>
      </w:r>
      <w:r>
        <w:t>az elveszett termelékenység, mely a hálózat, a rendszer és az alkalmazás tervezett vagy nem tervezett elérhetetlenségéből ered. Mérése a kiesett időre jutó munkabérrel történik.</w:t>
      </w:r>
    </w:p>
    <w:p w:rsidR="00000000" w:rsidRDefault="00943F0E">
      <w:pPr>
        <w:pStyle w:val="Cmsor3"/>
      </w:pPr>
      <w:bookmarkStart w:id="12" w:name="_Toc536839194"/>
      <w:r>
        <w:lastRenderedPageBreak/>
        <w:t>Közvetlen költségek</w:t>
      </w:r>
      <w:bookmarkEnd w:id="12"/>
    </w:p>
    <w:p w:rsidR="00000000" w:rsidRDefault="00943F0E">
      <w:r>
        <w:t>A közvetlen költségek az IS időszaki közvetlen kiadásai, melyek a hardver- és szoftver-vagyonnal, az IS technikai szolgáltatásaival és munkájával illetve a külső (kiszervezett) m</w:t>
      </w:r>
      <w:r>
        <w:t>e</w:t>
      </w:r>
      <w:r>
        <w:t>nedzsment díjaival kapcsolatban merülnek fel. A következő fő kategóriák tarto</w:t>
      </w:r>
      <w:r>
        <w:t>znak ide:</w:t>
      </w:r>
    </w:p>
    <w:p w:rsidR="00000000" w:rsidRDefault="00943F0E">
      <w:pPr>
        <w:numPr>
          <w:ilvl w:val="0"/>
          <w:numId w:val="17"/>
        </w:numPr>
      </w:pPr>
      <w:r>
        <w:t>Hardver és szoftver (vagyonnal illetve bérelt eszközökkel kapcsolatos kiadások melyek a te</w:t>
      </w:r>
      <w:r>
        <w:t>r</w:t>
      </w:r>
      <w:r>
        <w:t>melést és az IS-t érintik)</w:t>
      </w:r>
    </w:p>
    <w:p w:rsidR="00000000" w:rsidRDefault="00943F0E">
      <w:pPr>
        <w:numPr>
          <w:ilvl w:val="0"/>
          <w:numId w:val="17"/>
        </w:numPr>
      </w:pPr>
      <w:r>
        <w:t>Működtetés (technikai szolgáltatások és kapcsolódó munka valamint díjak)</w:t>
      </w:r>
    </w:p>
    <w:p w:rsidR="00000000" w:rsidRDefault="00943F0E">
      <w:pPr>
        <w:numPr>
          <w:ilvl w:val="0"/>
          <w:numId w:val="17"/>
        </w:numPr>
      </w:pPr>
      <w:r>
        <w:t>Adminisztráció (rezsiköltségek valamint képzés)</w:t>
      </w:r>
    </w:p>
    <w:p w:rsidR="00000000" w:rsidRDefault="00943F0E">
      <w:pPr>
        <w:pStyle w:val="Cmsor4"/>
      </w:pPr>
      <w:bookmarkStart w:id="13" w:name="_Toc536839195"/>
      <w:r>
        <w:t>Hardver</w:t>
      </w:r>
      <w:r>
        <w:t xml:space="preserve"> és szoftver</w:t>
      </w:r>
      <w:bookmarkEnd w:id="13"/>
    </w:p>
    <w:p w:rsidR="00000000" w:rsidRDefault="00943F0E">
      <w:r>
        <w:t>A hardver tekintetében a kategóriák egyrészt az alapján képződnek, hogy hogyan számoljuk el a kiadásokat (beszerzési költség, értékcsökkenés, bérleti díj). Emellett elkülönítjük még a fejleszt</w:t>
      </w:r>
      <w:r>
        <w:t>é</w:t>
      </w:r>
      <w:r>
        <w:t>sekre, alkatr</w:t>
      </w:r>
      <w:r>
        <w:t>é</w:t>
      </w:r>
      <w:r>
        <w:t>szekre és a kiegészítő készletekre f</w:t>
      </w:r>
      <w:r>
        <w:t>ordított összegeket.</w:t>
      </w:r>
    </w:p>
    <w:p w:rsidR="00000000" w:rsidRDefault="00943F0E">
      <w:r>
        <w:t>A szoftver-kategória magában foglalja mind a vásárolt, mind a bérelt szoftvereket. Ez alól kiv</w:t>
      </w:r>
      <w:r>
        <w:t>é</w:t>
      </w:r>
      <w:r>
        <w:t>telt képeznek a felhasználók által fejlesztett szoftverek. Itt számoljuk el a szoftver megszerzésére fordított kiadást, de nem a személyi kö</w:t>
      </w:r>
      <w:r>
        <w:t>ltségeket, melyek az alkalmazások fejlesztése, módosítása és fenntartása kapcsán merültek fel.</w:t>
      </w:r>
    </w:p>
    <w:p w:rsidR="00000000" w:rsidRDefault="00943F0E">
      <w:r>
        <w:t xml:space="preserve">A munkadíjak és a kiszervezett irányítás költségei (melyek a kutatással, tervezéssel, szervezéssel, telepítéssel és frissítéssel kapcsolatosak) a </w:t>
      </w:r>
      <w:r>
        <w:rPr>
          <w:b/>
        </w:rPr>
        <w:t xml:space="preserve">Műveletek </w:t>
      </w:r>
      <w:r>
        <w:t>költségkategóriájába k</w:t>
      </w:r>
      <w:r>
        <w:t>e</w:t>
      </w:r>
      <w:r>
        <w:t>rülnek.</w:t>
      </w:r>
    </w:p>
    <w:p w:rsidR="00000000" w:rsidRDefault="00943F0E">
      <w:r>
        <w:rPr>
          <w:i/>
        </w:rPr>
        <w:t xml:space="preserve">Ezen költségek forrásai: </w:t>
      </w:r>
      <w:r>
        <w:t>Vásárlási szerződések, vásárlási megrendelések, szállítói naplók (logs) és megállapodások, költségvetések, hálózati diagrammok, bérlettel kapcsolatos okmányok, érté</w:t>
      </w:r>
      <w:r>
        <w:t>k</w:t>
      </w:r>
      <w:r>
        <w:t xml:space="preserve">csökkenéssel kapcsolatos </w:t>
      </w:r>
      <w:r>
        <w:t>okmányok, leltár- és vagyonmenedzsment naplók (logs).</w:t>
      </w:r>
    </w:p>
    <w:p w:rsidR="00000000" w:rsidRDefault="00943F0E">
      <w:r>
        <w:t xml:space="preserve">A költségkategória részletes tartalma </w:t>
      </w:r>
      <w:r>
        <w:rPr>
          <w:b/>
        </w:rPr>
        <w:t>[8]</w:t>
      </w:r>
      <w:r>
        <w:t>:</w:t>
      </w:r>
    </w:p>
    <w:p w:rsidR="00000000" w:rsidRDefault="00943F0E">
      <w:pPr>
        <w:numPr>
          <w:ilvl w:val="0"/>
          <w:numId w:val="23"/>
        </w:numPr>
      </w:pPr>
      <w:r>
        <w:rPr>
          <w:b/>
        </w:rPr>
        <w:t xml:space="preserve">Hardver: </w:t>
      </w:r>
      <w:r>
        <w:rPr>
          <w:i/>
        </w:rPr>
        <w:t>Ebbe a kategóriába tartozik:</w:t>
      </w:r>
      <w:r>
        <w:t xml:space="preserve"> a vételár; értékcsökkenés; bérleti díjak; frissít</w:t>
      </w:r>
      <w:r>
        <w:t>é</w:t>
      </w:r>
      <w:r>
        <w:t>sek; alkatrészek; kiegészítő készletek.</w:t>
      </w:r>
    </w:p>
    <w:p w:rsidR="00000000" w:rsidRDefault="00943F0E">
      <w:pPr>
        <w:numPr>
          <w:ilvl w:val="0"/>
          <w:numId w:val="23"/>
        </w:numPr>
      </w:pPr>
      <w:r>
        <w:rPr>
          <w:b/>
        </w:rPr>
        <w:t xml:space="preserve">Szoftver: </w:t>
      </w:r>
      <w:r>
        <w:rPr>
          <w:i/>
        </w:rPr>
        <w:t xml:space="preserve">Ide sorolhatók: </w:t>
      </w:r>
      <w:r>
        <w:t>a sze</w:t>
      </w:r>
      <w:r>
        <w:t>mélyi általános irodai szoftverek; az üzleti és mérnök- a</w:t>
      </w:r>
      <w:r>
        <w:t>l</w:t>
      </w:r>
      <w:r>
        <w:t xml:space="preserve">kalmazások; az adatbázis, adatmenedzsment és fejlesztő eszközök; a csoportmunkát és kapcsolatot támogató szoftverek illetve egyéb szoftverek. </w:t>
      </w:r>
    </w:p>
    <w:p w:rsidR="00000000" w:rsidRDefault="00943F0E">
      <w:pPr>
        <w:numPr>
          <w:ilvl w:val="0"/>
          <w:numId w:val="23"/>
        </w:numPr>
      </w:pPr>
      <w:r>
        <w:rPr>
          <w:b/>
        </w:rPr>
        <w:t>IS-hardver:</w:t>
      </w:r>
      <w:r>
        <w:t xml:space="preserve"> Alapvetően az IS-folyamatokat, és nem az üz</w:t>
      </w:r>
      <w:r>
        <w:t>leti és felhasználói folyamat</w:t>
      </w:r>
      <w:r>
        <w:t>o</w:t>
      </w:r>
      <w:r>
        <w:t>kat támogatja. (pl. teszt- és oktatási eszközök, help-desk konzolok)</w:t>
      </w:r>
      <w:r>
        <w:br/>
      </w:r>
      <w:r>
        <w:rPr>
          <w:i/>
        </w:rPr>
        <w:t>Ide sorolhatjuk:</w:t>
      </w:r>
      <w:r>
        <w:t xml:space="preserve"> Vételár; értékcsökkenés; bérleti díjak; frissítések; alkatrészek; kiegészítő készletek</w:t>
      </w:r>
    </w:p>
    <w:p w:rsidR="00000000" w:rsidRDefault="00943F0E">
      <w:pPr>
        <w:numPr>
          <w:ilvl w:val="0"/>
          <w:numId w:val="23"/>
        </w:numPr>
      </w:pPr>
      <w:r>
        <w:rPr>
          <w:b/>
        </w:rPr>
        <w:t>IS-szoftverek:</w:t>
      </w:r>
      <w:r>
        <w:t xml:space="preserve"> speciálisan az IS által használt szoft</w:t>
      </w:r>
      <w:r>
        <w:t xml:space="preserve">verek, a fejlesztett szoftverek nem tartoznak ide. </w:t>
      </w:r>
      <w:r>
        <w:rPr>
          <w:i/>
        </w:rPr>
        <w:t xml:space="preserve">Főbb csoportjai: </w:t>
      </w:r>
      <w:r>
        <w:t>hálózat, rendszerek, tároló és eszközmenedzsment-szoftverek; help-desk szoftverek; oktató és CBT (Computer Based Training) szoftverek: ideértve mind az IS mind a felhasználók oktatásához h</w:t>
      </w:r>
      <w:r>
        <w:t>asznált alkalmazásokat; teszt és egyéb szoftverek</w:t>
      </w:r>
    </w:p>
    <w:p w:rsidR="00000000" w:rsidRDefault="00943F0E">
      <w:pPr>
        <w:pStyle w:val="Cmsor4"/>
      </w:pPr>
      <w:bookmarkStart w:id="14" w:name="_Toc536839196"/>
      <w:r>
        <w:t>Működtetés</w:t>
      </w:r>
      <w:bookmarkEnd w:id="14"/>
    </w:p>
    <w:p w:rsidR="00000000" w:rsidRDefault="00943F0E">
      <w:r>
        <w:t xml:space="preserve">Az ide tartozó számlák magukban foglalnak minden, a vállalaton belüli személyzeti, szállítói, a külső menedzsmenthez és a támogatást biztosító vállalkozáshoz kapcsolódó költséget. </w:t>
      </w:r>
    </w:p>
    <w:p w:rsidR="00000000" w:rsidRDefault="00943F0E">
      <w:r>
        <w:rPr>
          <w:i/>
        </w:rPr>
        <w:lastRenderedPageBreak/>
        <w:t>A szükséges ad</w:t>
      </w:r>
      <w:r>
        <w:rPr>
          <w:i/>
        </w:rPr>
        <w:t xml:space="preserve">atok a következő forrásokból származhatnak: </w:t>
      </w:r>
      <w:r>
        <w:t>(munka)időnyilvántartások, külső céggel kötött megállapodások, karbantartási szerződések, IS-menedzsment, a menedzsmentre vonatkozó időbeosztás, IS-költségvetés, HR- bérnyilvántartások, IS szervezeti felépítés, s</w:t>
      </w:r>
      <w:r>
        <w:t>zolgá</w:t>
      </w:r>
      <w:r>
        <w:t>l</w:t>
      </w:r>
      <w:r>
        <w:t>tatási napló (log).</w:t>
      </w:r>
    </w:p>
    <w:p w:rsidR="00000000" w:rsidRDefault="00943F0E">
      <w:r>
        <w:t xml:space="preserve">Az idetartozó fontosabb kategóriák </w:t>
      </w:r>
      <w:r>
        <w:rPr>
          <w:b/>
        </w:rPr>
        <w:t>[8]</w:t>
      </w:r>
      <w:r>
        <w:t>:</w:t>
      </w:r>
    </w:p>
    <w:p w:rsidR="00000000" w:rsidRDefault="00943F0E">
      <w:pPr>
        <w:numPr>
          <w:ilvl w:val="0"/>
          <w:numId w:val="24"/>
        </w:numPr>
      </w:pPr>
      <w:r>
        <w:rPr>
          <w:b/>
        </w:rPr>
        <w:t>Technikai (jellemzően szerviz) szolgáltatást végző személyzet és díjak:</w:t>
      </w:r>
      <w:r>
        <w:t xml:space="preserve"> Ezen szolgáltat</w:t>
      </w:r>
      <w:r>
        <w:t>á</w:t>
      </w:r>
      <w:r>
        <w:t>sokat megkülönböztethetjük aszerint, hogy a kliensekhez, a szerverekhez vagy a hálózato</w:t>
      </w:r>
      <w:r>
        <w:t>k</w:t>
      </w:r>
      <w:r>
        <w:t>hoz kapcsolódó</w:t>
      </w:r>
      <w:r>
        <w:t>an nyújtják-e őket.</w:t>
      </w:r>
    </w:p>
    <w:p w:rsidR="00000000" w:rsidRDefault="00943F0E">
      <w:pPr>
        <w:numPr>
          <w:ilvl w:val="0"/>
          <w:numId w:val="24"/>
        </w:numPr>
      </w:pPr>
      <w:r>
        <w:rPr>
          <w:b/>
        </w:rPr>
        <w:t xml:space="preserve">Tervezés és folyamatmenedzsment: </w:t>
      </w:r>
      <w:r>
        <w:t>A legfontosabb ide sorolható költségkategóriák: ka</w:t>
      </w:r>
      <w:r>
        <w:t>p</w:t>
      </w:r>
      <w:r>
        <w:t>csolat-menedzsment (az IS és az üzleti egységek között); kutatás, tervezés és termékm</w:t>
      </w:r>
      <w:r>
        <w:t>e</w:t>
      </w:r>
      <w:r>
        <w:t>nedzsment; a beszerzést megelőző értékelés (pl. tesztelés); bizton</w:t>
      </w:r>
      <w:r>
        <w:t>ság és vírusvédelem; üzleti adatok helyreállítás (vonatkozó tevékenységek tervezése, elvégzése, menedzsmentje).</w:t>
      </w:r>
    </w:p>
    <w:p w:rsidR="00000000" w:rsidRDefault="00943F0E">
      <w:pPr>
        <w:numPr>
          <w:ilvl w:val="0"/>
          <w:numId w:val="24"/>
        </w:numPr>
      </w:pPr>
      <w:r>
        <w:rPr>
          <w:b/>
        </w:rPr>
        <w:t xml:space="preserve">Adatbázis-menedzsment és –adminisztráció: </w:t>
      </w:r>
      <w:r>
        <w:t>index-menedzsment, bejelentkezés-adminisztráció, adat-visszaállítás és -optimalizálás</w:t>
      </w:r>
    </w:p>
    <w:p w:rsidR="00000000" w:rsidRDefault="00943F0E">
      <w:pPr>
        <w:numPr>
          <w:ilvl w:val="0"/>
          <w:numId w:val="24"/>
        </w:numPr>
      </w:pPr>
      <w:r>
        <w:rPr>
          <w:b/>
        </w:rPr>
        <w:t>Szervizszolgálta</w:t>
      </w:r>
      <w:r>
        <w:rPr>
          <w:b/>
        </w:rPr>
        <w:t xml:space="preserve">tás (0/I Szint): </w:t>
      </w:r>
      <w:r>
        <w:t>0. szint: a jelzések fogadása és rögzítése, 1. szint: a nem sü</w:t>
      </w:r>
      <w:r>
        <w:t>r</w:t>
      </w:r>
      <w:r>
        <w:t>gős hibák kezelése telefonon, e-mailen.</w:t>
      </w:r>
    </w:p>
    <w:p w:rsidR="00000000" w:rsidRDefault="00943F0E">
      <w:pPr>
        <w:ind w:left="360"/>
      </w:pPr>
      <w:r>
        <w:t>Ide kapcsolódó mérőszámok: a támogató felhasználókra jutó felhasználók száma, havi hív</w:t>
      </w:r>
      <w:r>
        <w:t>á</w:t>
      </w:r>
      <w:r>
        <w:t>sok száma, hívásonkénti várakozási idő, nem fogadott hívások hányada, egyes hívások időta</w:t>
      </w:r>
      <w:r>
        <w:t>r</w:t>
      </w:r>
      <w:r>
        <w:t>tama, a megoldás időtartama, az első es</w:t>
      </w:r>
      <w:r>
        <w:t>etben való megoldás hányada, a 10 leggyakoribb probléma.</w:t>
      </w:r>
    </w:p>
    <w:p w:rsidR="00000000" w:rsidRDefault="00943F0E">
      <w:pPr>
        <w:pStyle w:val="Cmsor4"/>
      </w:pPr>
      <w:bookmarkStart w:id="15" w:name="_Toc536839197"/>
      <w:r>
        <w:t>Adminisztráció</w:t>
      </w:r>
      <w:bookmarkEnd w:id="15"/>
    </w:p>
    <w:p w:rsidR="00000000" w:rsidRDefault="00943F0E">
      <w:r>
        <w:t>Azok a közvetlen költségek és díjak, melyek adminisztratív szolgáltatások nyújtása során kele</w:t>
      </w:r>
      <w:r>
        <w:t>t</w:t>
      </w:r>
      <w:r>
        <w:t xml:space="preserve">keznek az IS részéről. </w:t>
      </w:r>
    </w:p>
    <w:p w:rsidR="00000000" w:rsidRDefault="00943F0E">
      <w:r>
        <w:rPr>
          <w:i/>
        </w:rPr>
        <w:t xml:space="preserve">Az adatok begyűjthetők: </w:t>
      </w:r>
      <w:r>
        <w:t>képzés-szervezési diagramokról, képzési na</w:t>
      </w:r>
      <w:r>
        <w:t>plókból (logs) és időbeos</w:t>
      </w:r>
      <w:r>
        <w:t>z</w:t>
      </w:r>
      <w:r>
        <w:t>tásokból, az IS-költségvetésből, HR fizetési adatokból, IS szervezeti felépítéséből, képzési sze</w:t>
      </w:r>
      <w:r>
        <w:t>r</w:t>
      </w:r>
      <w:r>
        <w:t>ződésekből.</w:t>
      </w:r>
    </w:p>
    <w:p w:rsidR="00000000" w:rsidRDefault="00943F0E">
      <w:r>
        <w:t xml:space="preserve">Az egyes költségcsoportokat okozó tevékenységek </w:t>
      </w:r>
      <w:r>
        <w:rPr>
          <w:b/>
        </w:rPr>
        <w:t>[8]</w:t>
      </w:r>
      <w:r>
        <w:t>:</w:t>
      </w:r>
    </w:p>
    <w:p w:rsidR="00000000" w:rsidRDefault="00943F0E">
      <w:pPr>
        <w:numPr>
          <w:ilvl w:val="0"/>
          <w:numId w:val="25"/>
        </w:numPr>
      </w:pPr>
      <w:r>
        <w:rPr>
          <w:b/>
        </w:rPr>
        <w:t xml:space="preserve">Pénzügy és adminisztráció: </w:t>
      </w:r>
      <w:r>
        <w:t>Felügyeleti menedzsment (főleg a közép és</w:t>
      </w:r>
      <w:r>
        <w:t xml:space="preserve"> felső vezetés), IS adminisztratív támogatása, vagyonmenedzsment, költségvetés, auditálás, beszerzés- és sze</w:t>
      </w:r>
      <w:r>
        <w:t>r</w:t>
      </w:r>
      <w:r>
        <w:t>ződésmenedzsment, szállító-menedzsment.</w:t>
      </w:r>
    </w:p>
    <w:p w:rsidR="00000000" w:rsidRDefault="00943F0E">
      <w:pPr>
        <w:numPr>
          <w:ilvl w:val="0"/>
          <w:numId w:val="25"/>
        </w:numPr>
      </w:pPr>
      <w:r>
        <w:rPr>
          <w:b/>
        </w:rPr>
        <w:t xml:space="preserve">IS-képzés: </w:t>
      </w:r>
      <w:r>
        <w:t>a képzés szervezése, végrehajtása</w:t>
      </w:r>
    </w:p>
    <w:p w:rsidR="00000000" w:rsidRDefault="00943F0E">
      <w:pPr>
        <w:numPr>
          <w:ilvl w:val="0"/>
          <w:numId w:val="25"/>
        </w:numPr>
      </w:pPr>
      <w:r>
        <w:rPr>
          <w:b/>
        </w:rPr>
        <w:t xml:space="preserve">Felhasználók képzése: </w:t>
      </w:r>
      <w:r>
        <w:t>a képzés szervezése, végrehajtása. (Anna</w:t>
      </w:r>
      <w:r>
        <w:t>k az időnek a költségei, mely során a felhasználó részt vesz a képzésen a közvetett költségek között szerepe</w:t>
      </w:r>
      <w:r>
        <w:t>l</w:t>
      </w:r>
      <w:r>
        <w:t>nek.)</w:t>
      </w:r>
    </w:p>
    <w:p w:rsidR="00000000" w:rsidRDefault="00943F0E">
      <w:pPr>
        <w:pStyle w:val="Cmsor3"/>
      </w:pPr>
      <w:bookmarkStart w:id="16" w:name="_Toc536839198"/>
      <w:r>
        <w:t>Közvetett költségek</w:t>
      </w:r>
      <w:bookmarkEnd w:id="16"/>
    </w:p>
    <w:p w:rsidR="00000000" w:rsidRDefault="00943F0E">
      <w:r>
        <w:t>A költségvetésben nincsenek megtervezve és gyakran nem számolják el őket. Alapvetően két fő kategóriát kezel a TCO: a fel</w:t>
      </w:r>
      <w:r>
        <w:t>használói tevékenységekből eredő, és az állásidőből eredő költségek.</w:t>
      </w:r>
    </w:p>
    <w:p w:rsidR="00000000" w:rsidRDefault="00943F0E">
      <w:pPr>
        <w:pStyle w:val="Cmsor4"/>
      </w:pPr>
      <w:bookmarkStart w:id="17" w:name="_Toc536839199"/>
      <w:r>
        <w:lastRenderedPageBreak/>
        <w:t>A felhasználói tevékenységekből eredő költségek</w:t>
      </w:r>
      <w:bookmarkEnd w:id="17"/>
    </w:p>
    <w:p w:rsidR="00000000" w:rsidRDefault="00943F0E">
      <w:r>
        <w:t xml:space="preserve">Egyes szervezetekben bizonyos IS-feladatokat a felhasználók látnak el vagy szándékosan, mert nem bíznak az IS-erőforrásaiban (pl. szeretik </w:t>
      </w:r>
      <w:r>
        <w:t>maguk ellátni a dolgokat, nincsenek megelégedve az IS-tevékenységével), vagy az IS erőforrásai nincsenek a támogatási vagy szervizfunkciókhoz rendelve (magukra hagyják a felhasználókat). Az indirekt költségek gyakran rejtve maradnak, és ilyenkor az IS rend</w:t>
      </w:r>
      <w:r>
        <w:t>szerének valós költségeit rendsz</w:t>
      </w:r>
      <w:r>
        <w:t>e</w:t>
      </w:r>
      <w:r>
        <w:t xml:space="preserve">rint alábecsülik. </w:t>
      </w:r>
    </w:p>
    <w:p w:rsidR="00000000" w:rsidRDefault="00943F0E">
      <w:r>
        <w:rPr>
          <w:i/>
        </w:rPr>
        <w:t xml:space="preserve">Ezek az adatok a következő forrásokból érhetők el: </w:t>
      </w:r>
      <w:r>
        <w:t>interjú a felhasználókkal, HR fizetési adatok, felhasználói kérdőívek, képzéssel foglalkozó vezető.</w:t>
      </w:r>
    </w:p>
    <w:p w:rsidR="00000000" w:rsidRDefault="00943F0E">
      <w:r>
        <w:t>Jelenleg a kérdőíveken kívül nincs más közvetlen móds</w:t>
      </w:r>
      <w:r>
        <w:t>zer arra, hogy meghatározzuk, a felhas</w:t>
      </w:r>
      <w:r>
        <w:t>z</w:t>
      </w:r>
      <w:r>
        <w:t>nálók mennyi idő töltenek egymás és önmaguk támogatásával. Ezekben arra kérünk választ, hogy a felhasználók hol veszik igénybe az IS szolgáltatásait, és rendszerint mennyit foglalkoznak az IS feladatival (maguk vagy m</w:t>
      </w:r>
      <w:r>
        <w:t>ások számára).</w:t>
      </w:r>
    </w:p>
    <w:p w:rsidR="00000000" w:rsidRDefault="00943F0E">
      <w:r>
        <w:t xml:space="preserve">A következő költségkategóriákkal kalkulálhatunk ebben az esetben </w:t>
      </w:r>
      <w:r>
        <w:rPr>
          <w:b/>
        </w:rPr>
        <w:t>[8]</w:t>
      </w:r>
      <w:r>
        <w:t>: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 xml:space="preserve">A munkatárs támogatása: </w:t>
      </w:r>
      <w:r>
        <w:t>A felhasználók munkájuk során egymást támogatják a help desk vagy az IS-szolgáltatásainak igénybevétele helyett. Tipikusan ilyen tevékenységek: a p</w:t>
      </w:r>
      <w:r>
        <w:t>robl</w:t>
      </w:r>
      <w:r>
        <w:t>é</w:t>
      </w:r>
      <w:r>
        <w:t>mamegoldás és a javítás, a támogatás, a karbantartás, oktatás és a bizto</w:t>
      </w:r>
      <w:r>
        <w:t>n</w:t>
      </w:r>
      <w:r>
        <w:t xml:space="preserve">sági mentés. 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 xml:space="preserve">Alkalmi tanulás/támogatás: </w:t>
      </w:r>
      <w:r>
        <w:t xml:space="preserve">A felhasználók a hivatalos oktatási vagy támogatási programok keretén kívül tanulnak vagy támogatják magukat. Ennek során a felhasználók </w:t>
      </w:r>
      <w:r>
        <w:t>a felhasználói kézikönyv vagy az on-line help olvasásával, próbálgató módszerrel vagy valamilyen más h</w:t>
      </w:r>
      <w:r>
        <w:t>a</w:t>
      </w:r>
      <w:r>
        <w:t>sonló módszerrel próbálják elsajátítani egy program használatát vagy megoldani a feladat</w:t>
      </w:r>
      <w:r>
        <w:t>u</w:t>
      </w:r>
      <w:r>
        <w:t>kat.</w:t>
      </w:r>
    </w:p>
    <w:p w:rsidR="00000000" w:rsidRDefault="00943F0E">
      <w:pPr>
        <w:ind w:left="360"/>
      </w:pPr>
      <w:r>
        <w:t>Jellemző, hogy az alkalmi tanulás költségei magasabbak, mint a hivatalos tanulásé, illetve a nem megfelelő színvonalú hivatalos oktatás magas alkalmi tanulási költségekhez vezet.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 xml:space="preserve">Hivatalos tanulás: </w:t>
      </w:r>
      <w:r>
        <w:t>Annak az időnek a költségei, mely alatt a felhasználó rész</w:t>
      </w:r>
      <w:r>
        <w:t>t vesz a szám</w:t>
      </w:r>
      <w:r>
        <w:t>í</w:t>
      </w:r>
      <w:r>
        <w:t>tógépes rendszer vagy alkalmazás elsajátítására szervezett oktatáson.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 xml:space="preserve">File- és adatmenedzsment: </w:t>
      </w:r>
      <w:r>
        <w:t>Annak az időnek a költsége, mely alatta felhasználó ilyen tev</w:t>
      </w:r>
      <w:r>
        <w:t>é</w:t>
      </w:r>
      <w:r>
        <w:t>kenységet folytat (pl. file-rendszer karbantartása, rendszerezése, optimalizálása, m</w:t>
      </w:r>
      <w:r>
        <w:t>entése és visszaállítása)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 xml:space="preserve">Alkalmazásfejlesztés: </w:t>
      </w:r>
      <w:r>
        <w:t>Annak a kiadásai, hogy a felhasználó fejleszti vagy testre szabja az üzletileg vagy a feladata szempontjából nem kritikus alkalmazásokat (Acces adatbázisok, Lotus Notes és Office script-ek)</w:t>
      </w:r>
    </w:p>
    <w:p w:rsidR="00000000" w:rsidRDefault="00943F0E">
      <w:pPr>
        <w:numPr>
          <w:ilvl w:val="0"/>
          <w:numId w:val="26"/>
        </w:numPr>
      </w:pPr>
      <w:r>
        <w:rPr>
          <w:b/>
        </w:rPr>
        <w:t>A „Jé, ezt is lehe</w:t>
      </w:r>
      <w:r>
        <w:rPr>
          <w:b/>
        </w:rPr>
        <w:t xml:space="preserve">t!” tényező (kb.) (Futz faktor): </w:t>
      </w:r>
      <w:r>
        <w:t>Annak a költségei, hogy a felhasználó munkaidőben saját céljaira használja az eszközöket (pl. játék, Internetezés), illetve nem mu</w:t>
      </w:r>
      <w:r>
        <w:t>n</w:t>
      </w:r>
      <w:r>
        <w:t>ka-központú beállításokat végez el (hangok és színek beállítás, képernyőv</w:t>
      </w:r>
      <w:r>
        <w:t>é</w:t>
      </w:r>
      <w:r>
        <w:t>dő telepítése).</w:t>
      </w:r>
    </w:p>
    <w:p w:rsidR="00000000" w:rsidRDefault="00943F0E">
      <w:r>
        <w:t>Ez</w:t>
      </w:r>
      <w:r>
        <w:t xml:space="preserve"> a kategória a következő mérőszámokkal jellemezhető: a hivatalos támogatást mellőzve me</w:t>
      </w:r>
      <w:r>
        <w:t>n</w:t>
      </w:r>
      <w:r>
        <w:t>nyi időt tölt havonta segítség keresésével, a leggyakoribb tevékenységek, miközben a probléma megoldására várakozik, a leggyakoribb eljárások, melyeket a feladatok mego</w:t>
      </w:r>
      <w:r>
        <w:t>ldására használ, megelégedettség a szervízszolgáltatással, a hálózati adminisztrációval illetve a rendszerrel és az alkalmazásokkal.</w:t>
      </w:r>
    </w:p>
    <w:p w:rsidR="00000000" w:rsidRDefault="00943F0E">
      <w:pPr>
        <w:pStyle w:val="Cmsor4"/>
      </w:pPr>
      <w:bookmarkStart w:id="18" w:name="_Toc536839200"/>
      <w:r>
        <w:lastRenderedPageBreak/>
        <w:t>Állásidőből eredő költségek</w:t>
      </w:r>
      <w:bookmarkEnd w:id="18"/>
    </w:p>
    <w:p w:rsidR="00000000" w:rsidRDefault="00943F0E">
      <w:r>
        <w:t>Annak a hatékonyságveszteségnek a költségei, mely akkor jön létre, mikor a számítógépek, sze</w:t>
      </w:r>
      <w:r>
        <w:t>r</w:t>
      </w:r>
      <w:r>
        <w:t>ve</w:t>
      </w:r>
      <w:r>
        <w:t xml:space="preserve">rek, a hálózat, a nyomtatók vagy az alkalmazások nem érhetők el. Mérése a kiesett időre jutó munkabérrel történik </w:t>
      </w:r>
      <w:r>
        <w:rPr>
          <w:b/>
        </w:rPr>
        <w:t>[8]</w:t>
      </w:r>
      <w:r>
        <w:t>.</w:t>
      </w:r>
    </w:p>
    <w:p w:rsidR="00000000" w:rsidRDefault="00943F0E">
      <w:r>
        <w:rPr>
          <w:i/>
        </w:rPr>
        <w:t xml:space="preserve">Az állásidőre vonatkozó adatok elérhetők: </w:t>
      </w:r>
      <w:r>
        <w:t>HR fizetési adatokból, hálózat- és rendszermenedz</w:t>
      </w:r>
      <w:r>
        <w:t>s</w:t>
      </w:r>
      <w:r>
        <w:t>menttől, a help desk naplókból, az IS menedzs</w:t>
      </w:r>
      <w:r>
        <w:t>menttől, felhasználói kérdő-ívekből.</w:t>
      </w:r>
    </w:p>
    <w:p w:rsidR="00000000" w:rsidRDefault="00943F0E">
      <w:r>
        <w:t>Az állásidő létrejöhet azáltal, hogy a felhasználó várakozik a probléma megoldására, infrastrukt</w:t>
      </w:r>
      <w:r>
        <w:t>u</w:t>
      </w:r>
      <w:r>
        <w:t>rális okokra visszavezethetően (tervezett karbantartás, nem tervezett hiba – e-mail-ek nem elérh</w:t>
      </w:r>
      <w:r>
        <w:t>e</w:t>
      </w:r>
      <w:r>
        <w:t>tők, adatbázis- vagy háló</w:t>
      </w:r>
      <w:r>
        <w:t>zati kimaradás). Az állásidőt általában két részre osztják: tervezett és nem tervezett. A vállalatok általában nem követik a rendszer állásidejének költségeit, és nem ügyelnek ennek a vállalat termelékenységre gyakorolt hatásának kimutatására.</w:t>
      </w:r>
    </w:p>
    <w:p w:rsidR="00000000" w:rsidRDefault="00943F0E">
      <w:r>
        <w:t xml:space="preserve">Az állásidő </w:t>
      </w:r>
      <w:r>
        <w:t>közvetlenül mérhető: a rendszermenedzsment-eszközök segítségével, vagy a szerví</w:t>
      </w:r>
      <w:r>
        <w:t>z</w:t>
      </w:r>
      <w:r>
        <w:t>szolgáltatásra történő bejelentések alapján, illetve közvetett módon, a felhasználói kérdőívek s</w:t>
      </w:r>
      <w:r>
        <w:t>e</w:t>
      </w:r>
      <w:r>
        <w:t>gítségével.</w:t>
      </w:r>
    </w:p>
    <w:p w:rsidR="00000000" w:rsidRDefault="00943F0E">
      <w:r>
        <w:t xml:space="preserve">A legtöbb vállalat nem vezet pontos nyilvántartást az állásidőről. </w:t>
      </w:r>
      <w:r>
        <w:t>A rendszermenedzsment-eszközök gyakran nem az egész hálózatot figyelik, illetve rendszerint nem követik nyomon az asztali gépekre vonatkozó adatokat. A szervízszolgáltatáshoz befutó jelentéseket gyakran nem strukturálják úgy, hogy az állásidők hatása felmé</w:t>
      </w:r>
      <w:r>
        <w:t>rhető lenne. Ebből kifolyólag gyakrabban has</w:t>
      </w:r>
      <w:r>
        <w:t>z</w:t>
      </w:r>
      <w:r>
        <w:t>nálnak indirekt eszközöket, jóllehet a közvetlen mérésmód kívánatosabb lenne és a technológia fejlőd</w:t>
      </w:r>
      <w:r>
        <w:t>é</w:t>
      </w:r>
      <w:r>
        <w:t xml:space="preserve">sével egyre inkább elérhető. </w:t>
      </w:r>
    </w:p>
    <w:p w:rsidR="00000000" w:rsidRDefault="00943F0E">
      <w:pPr>
        <w:pStyle w:val="Cmsor2"/>
      </w:pPr>
      <w:bookmarkStart w:id="19" w:name="_Toc536839201"/>
      <w:r>
        <w:t>A TCO alkalmazásában követendő gyakorlat</w:t>
      </w:r>
      <w:bookmarkEnd w:id="19"/>
    </w:p>
    <w:p w:rsidR="00000000" w:rsidRDefault="00943F0E">
      <w:r>
        <w:t>A GarterGroup meghatározta azt a követe</w:t>
      </w:r>
      <w:r>
        <w:t>ndő gyakorlatot, mely szükséges a TCO-költségek csökkentéséhez. A szükséges elemeket három csoportba sorolta: Technológia-, Folyamat- és Képzettség-fejlesztés. Az alkalmazó szervezetek akkor tudják a leghatékonyabban csökkenteni az IS élettartam alatti köl</w:t>
      </w:r>
      <w:r>
        <w:t>tségeit, ha három, egymást kiegészítő beruházást végeznek: képzik az e</w:t>
      </w:r>
      <w:r>
        <w:t>m</w:t>
      </w:r>
      <w:r>
        <w:t>bereket, modernizálják folyamataikat, és olyan technológiát vezetnek be, mely könnyen irányí</w:t>
      </w:r>
      <w:r>
        <w:t>t</w:t>
      </w:r>
      <w:r>
        <w:t>h</w:t>
      </w:r>
      <w:r>
        <w:t>a</w:t>
      </w:r>
      <w:r>
        <w:t>tó, javítható és támogatható. Néhány tanulmány alapján ezen gyakorlat használatával a költ</w:t>
      </w:r>
      <w:r>
        <w:t>s</w:t>
      </w:r>
      <w:r>
        <w:t>é</w:t>
      </w:r>
      <w:r>
        <w:t>gek akár 30-40%-kal is csökkenhetők, nem beszélve a nagyobb működőképességről és a felhas</w:t>
      </w:r>
      <w:r>
        <w:t>z</w:t>
      </w:r>
      <w:r>
        <w:t>n</w:t>
      </w:r>
      <w:r>
        <w:t>á</w:t>
      </w:r>
      <w:r>
        <w:t>lók elégedettségéről.</w:t>
      </w:r>
    </w:p>
    <w:p w:rsidR="00000000" w:rsidRDefault="00943F0E">
      <w:r>
        <w:t xml:space="preserve">Mindhárom fő terület mindegyikéhez számos részterület kapcsolódik. Ezeken belül történhetnek meg a konkrét fejlesztések </w:t>
      </w:r>
      <w:r>
        <w:rPr>
          <w:b/>
        </w:rPr>
        <w:t>[7]</w:t>
      </w:r>
      <w:r>
        <w:t>:</w:t>
      </w:r>
    </w:p>
    <w:p w:rsidR="00000000" w:rsidRDefault="00943F0E">
      <w:pPr>
        <w:numPr>
          <w:ilvl w:val="0"/>
          <w:numId w:val="28"/>
        </w:numPr>
      </w:pPr>
      <w:r>
        <w:rPr>
          <w:b/>
        </w:rPr>
        <w:t>Technológia:</w:t>
      </w:r>
      <w:r>
        <w:t xml:space="preserve"> Id</w:t>
      </w:r>
      <w:r>
        <w:t xml:space="preserve">e tartozik többek között: </w:t>
      </w:r>
    </w:p>
    <w:p w:rsidR="00000000" w:rsidRDefault="00943F0E">
      <w:pPr>
        <w:numPr>
          <w:ilvl w:val="1"/>
          <w:numId w:val="28"/>
        </w:numPr>
      </w:pPr>
      <w:r>
        <w:t xml:space="preserve">vagyonmenedzsment (pl. automatizált vagyonmenedzsment), </w:t>
      </w:r>
    </w:p>
    <w:p w:rsidR="00000000" w:rsidRDefault="00943F0E">
      <w:pPr>
        <w:numPr>
          <w:ilvl w:val="1"/>
          <w:numId w:val="28"/>
        </w:numPr>
      </w:pPr>
      <w:r>
        <w:t>rendszermenedzsment (pl. vírusvédelem, rendszerek menedzselése, szerverekre alap</w:t>
      </w:r>
      <w:r>
        <w:t>o</w:t>
      </w:r>
      <w:r>
        <w:t xml:space="preserve">zott kliens-felügyelet), </w:t>
      </w:r>
    </w:p>
    <w:p w:rsidR="00000000" w:rsidRDefault="00943F0E">
      <w:pPr>
        <w:numPr>
          <w:ilvl w:val="1"/>
          <w:numId w:val="28"/>
        </w:numPr>
      </w:pPr>
      <w:r>
        <w:t>skálázhatóság (pl. skálázható rendszerfelépítés, „alacsony kockáz</w:t>
      </w:r>
      <w:r>
        <w:t xml:space="preserve">at–magas minőség” típusú szállító-kiválasztás), </w:t>
      </w:r>
    </w:p>
    <w:p w:rsidR="00000000" w:rsidRDefault="00943F0E">
      <w:pPr>
        <w:numPr>
          <w:ilvl w:val="1"/>
          <w:numId w:val="28"/>
        </w:numPr>
        <w:tabs>
          <w:tab w:val="left" w:pos="3960"/>
        </w:tabs>
      </w:pPr>
      <w:r>
        <w:t>az üzlet védelme (pl. a hardver fizikai védelme, automatikus mentés és visszaállítás, hibatolerancia)</w:t>
      </w:r>
    </w:p>
    <w:p w:rsidR="00000000" w:rsidRDefault="00943F0E">
      <w:pPr>
        <w:numPr>
          <w:ilvl w:val="0"/>
          <w:numId w:val="28"/>
        </w:numPr>
      </w:pPr>
      <w:r>
        <w:rPr>
          <w:b/>
        </w:rPr>
        <w:br w:type="page"/>
      </w:r>
      <w:r>
        <w:rPr>
          <w:b/>
        </w:rPr>
        <w:lastRenderedPageBreak/>
        <w:t>Folyamatok</w:t>
      </w:r>
      <w:r>
        <w:t>, melybe például az alábbi alkategóriák tartoznak:</w:t>
      </w:r>
    </w:p>
    <w:p w:rsidR="00000000" w:rsidRDefault="00943F0E">
      <w:pPr>
        <w:numPr>
          <w:ilvl w:val="1"/>
          <w:numId w:val="28"/>
        </w:numPr>
      </w:pPr>
      <w:r>
        <w:t>felhasználó-menedzsment (pl. vállalati poli</w:t>
      </w:r>
      <w:r>
        <w:t>tika menedzsmentje, adatbiztonság-menedzsment, változásmenedzsment),</w:t>
      </w:r>
    </w:p>
    <w:p w:rsidR="00000000" w:rsidRDefault="00943F0E">
      <w:pPr>
        <w:numPr>
          <w:ilvl w:val="1"/>
          <w:numId w:val="28"/>
        </w:numPr>
      </w:pPr>
      <w:r>
        <w:t>szabványosítás (pl. szállítók, platformok, alkalmazások szabványosítása, központos</w:t>
      </w:r>
      <w:r>
        <w:t>í</w:t>
      </w:r>
      <w:r>
        <w:t>tott és optimalizált beszerzés),</w:t>
      </w:r>
    </w:p>
    <w:p w:rsidR="00000000" w:rsidRDefault="00943F0E">
      <w:pPr>
        <w:numPr>
          <w:ilvl w:val="1"/>
          <w:numId w:val="28"/>
        </w:numPr>
      </w:pPr>
      <w:r>
        <w:t>az alkalmazott gyakorlat menedzsmentje (pl. több időt fordítani a terve</w:t>
      </w:r>
      <w:r>
        <w:t>zésre, kapac</w:t>
      </w:r>
      <w:r>
        <w:t>i</w:t>
      </w:r>
      <w:r>
        <w:t>tástervezés, TCO-életciklusmodell)</w:t>
      </w:r>
    </w:p>
    <w:p w:rsidR="00000000" w:rsidRDefault="00943F0E">
      <w:pPr>
        <w:numPr>
          <w:ilvl w:val="0"/>
          <w:numId w:val="28"/>
        </w:numPr>
      </w:pPr>
      <w:r>
        <w:rPr>
          <w:b/>
        </w:rPr>
        <w:t xml:space="preserve">Emberi erőforrás (képzettség), </w:t>
      </w:r>
      <w:r>
        <w:t>melybe az alábbi kategóriák sorolhatók:</w:t>
      </w:r>
    </w:p>
    <w:p w:rsidR="00000000" w:rsidRDefault="00943F0E">
      <w:pPr>
        <w:numPr>
          <w:ilvl w:val="1"/>
          <w:numId w:val="28"/>
        </w:numPr>
      </w:pPr>
      <w:r>
        <w:t>felhasználók képzése,</w:t>
      </w:r>
    </w:p>
    <w:p w:rsidR="00000000" w:rsidRDefault="00943F0E">
      <w:pPr>
        <w:numPr>
          <w:ilvl w:val="1"/>
          <w:numId w:val="28"/>
        </w:numPr>
      </w:pPr>
      <w:r>
        <w:t>IS képzése,</w:t>
      </w:r>
    </w:p>
    <w:p w:rsidR="00000000" w:rsidRDefault="00943F0E">
      <w:pPr>
        <w:numPr>
          <w:ilvl w:val="1"/>
          <w:numId w:val="28"/>
        </w:numPr>
      </w:pPr>
      <w:r>
        <w:t>az IS-személyzet magas motiváltsága,</w:t>
      </w:r>
    </w:p>
    <w:p w:rsidR="00000000" w:rsidRDefault="00943F0E">
      <w:pPr>
        <w:numPr>
          <w:ilvl w:val="1"/>
          <w:numId w:val="28"/>
        </w:numPr>
      </w:pPr>
      <w:r>
        <w:t>szilárd IS-szervezet.</w:t>
      </w:r>
    </w:p>
    <w:p w:rsidR="00000000" w:rsidRDefault="00943F0E">
      <w:r>
        <w:t xml:space="preserve">A TCO-gyakorlatban minden fejlesztés három, </w:t>
      </w:r>
      <w:r>
        <w:t xml:space="preserve">fokozatosan bővülő szinten valósulhat meg (alap-, közép- és magas szintű), illetve meghatározták azokat a költségkategóriákat, melyekre ezek a fejlesztések hatást gyakoroltak. Példaként szerepeljen itt az </w:t>
      </w:r>
      <w:r>
        <w:rPr>
          <w:i/>
        </w:rPr>
        <w:t xml:space="preserve">automatikus mentés és visszaállítás </w:t>
      </w:r>
      <w:r>
        <w:t>lehetőségének v</w:t>
      </w:r>
      <w:r>
        <w:t xml:space="preserve">izsgálata </w:t>
      </w:r>
      <w:r>
        <w:rPr>
          <w:b/>
        </w:rPr>
        <w:t>[7]</w:t>
      </w:r>
      <w:r>
        <w:t>:</w:t>
      </w:r>
    </w:p>
    <w:p w:rsidR="00000000" w:rsidRDefault="00943F0E">
      <w:r>
        <w:t>Ez a fejlesztés lehetővé teszi, hogy mind a hálózati szervereken, mind az asztali és a hordozható gépeken tárolt adatatok biztonsági mentését (backup). Az automatikus mentés és visszaállítás nem feltétlenül felel meg az állapotmenedzsment fo</w:t>
      </w:r>
      <w:r>
        <w:t>galmának, viszont lehetővé teszi az állom</w:t>
      </w:r>
      <w:r>
        <w:t>á</w:t>
      </w:r>
      <w:r>
        <w:t>nyok bizonyos időközönként történő, automatikus (a felhasználó beavatkozását nem igénylő) mentését és tárolását. Amennyiben valamilyen adatvesztés következne be, az adatok a tárolókon hozzáférhetők és tökéletesen v</w:t>
      </w:r>
      <w:r>
        <w:t>isszaállíthatók. A biztonságnak arra is ki kell terjednie, hogy ha a hiba miatt har</w:t>
      </w:r>
      <w:r>
        <w:t>d</w:t>
      </w:r>
      <w:r>
        <w:t>vercserére van szükség, a teljes file-rendszer visszaállítható legyen.</w:t>
      </w:r>
    </w:p>
    <w:p w:rsidR="00000000" w:rsidRDefault="00943F0E">
      <w:r>
        <w:t>A fejlesztés tekintetében a következő szintek valósíthatók meg:</w:t>
      </w:r>
    </w:p>
    <w:p w:rsidR="00000000" w:rsidRDefault="00943F0E">
      <w:r>
        <w:rPr>
          <w:b/>
        </w:rPr>
        <w:t xml:space="preserve">Alapszint: </w:t>
      </w:r>
      <w:r>
        <w:t>Minden csatlakoztatott ren</w:t>
      </w:r>
      <w:r>
        <w:t xml:space="preserve">dszerről biztonsági mentés készül bizonyos időközönként. A változásokat naponta, míg a teljes adatszerkezetet hetente vagy havonta rögzítik. A hordozható rendszerek nem vesznek részt ebben a folyamatban. A visszaállítást a felhasználó kezdeményezi, amihez </w:t>
      </w:r>
      <w:r>
        <w:t>bizonyos „kézi” beavatkozás szükséges. A megoldás célja, hogy csökkentse az adatves</w:t>
      </w:r>
      <w:r>
        <w:t>z</w:t>
      </w:r>
      <w:r>
        <w:t>tés kockázatát és költségeit.</w:t>
      </w:r>
    </w:p>
    <w:p w:rsidR="00000000" w:rsidRDefault="00943F0E">
      <w:r>
        <w:rPr>
          <w:b/>
        </w:rPr>
        <w:t xml:space="preserve">Középszint: </w:t>
      </w:r>
      <w:r>
        <w:t xml:space="preserve">Minden rendszer (ideértve a hordozható rendszereket is) részt vesz a folyamatban. Figyelembe veszi a rendszer hierarchiáját és az </w:t>
      </w:r>
      <w:r>
        <w:t xml:space="preserve">adatok eltérő fontosságát. </w:t>
      </w:r>
    </w:p>
    <w:p w:rsidR="00000000" w:rsidRDefault="00943F0E">
      <w:r>
        <w:rPr>
          <w:b/>
        </w:rPr>
        <w:t xml:space="preserve">Magas szint: </w:t>
      </w:r>
      <w:r>
        <w:t>A vállalati politikák szerves részét képezi az adatvagyon védelme. Az adatmentés és -visszatöltés egy átfogó adatbiztonsági folyamat részét képezi.</w:t>
      </w:r>
    </w:p>
    <w:p w:rsidR="00000000" w:rsidRDefault="00943F0E">
      <w:r>
        <w:t>Azok a TCO-költségkategóriák, melyeket befolyásol ez az elem:</w:t>
      </w:r>
    </w:p>
    <w:p w:rsidR="00000000" w:rsidRDefault="00943F0E">
      <w:pPr>
        <w:numPr>
          <w:ilvl w:val="0"/>
          <w:numId w:val="29"/>
        </w:numPr>
      </w:pPr>
      <w:r>
        <w:t>IS-sz</w:t>
      </w:r>
      <w:r>
        <w:t xml:space="preserve">oftver: hálózat, rendszerek, tároló és eszközmenedzsment-szoftverek, </w:t>
      </w:r>
    </w:p>
    <w:p w:rsidR="00000000" w:rsidRDefault="00943F0E">
      <w:pPr>
        <w:numPr>
          <w:ilvl w:val="0"/>
          <w:numId w:val="29"/>
        </w:numPr>
      </w:pPr>
      <w:r>
        <w:t>Működtetés (Technikai szolgáltatások): 2. és 3. szintű szervízszolgáltatások, felhasználó-adminisztráció, lemez- és file-menedzsment, mentés és archiválás,</w:t>
      </w:r>
    </w:p>
    <w:p w:rsidR="00000000" w:rsidRDefault="00943F0E">
      <w:pPr>
        <w:numPr>
          <w:ilvl w:val="0"/>
          <w:numId w:val="29"/>
        </w:numPr>
      </w:pPr>
      <w:r>
        <w:lastRenderedPageBreak/>
        <w:t>Működtetés (Tervezés és folyam</w:t>
      </w:r>
      <w:r>
        <w:t>atmenedzsment): Biztonság és vírusvédelem, üzleti ad</w:t>
      </w:r>
      <w:r>
        <w:t>a</w:t>
      </w:r>
      <w:r>
        <w:t>tok visszaállítás,</w:t>
      </w:r>
    </w:p>
    <w:p w:rsidR="00000000" w:rsidRDefault="00943F0E">
      <w:pPr>
        <w:numPr>
          <w:ilvl w:val="0"/>
          <w:numId w:val="29"/>
        </w:numPr>
      </w:pPr>
      <w:r>
        <w:t>Műveletek (Szervízszolgáltatás): Havonkénti átlagos hívások száma</w:t>
      </w:r>
    </w:p>
    <w:p w:rsidR="00000000" w:rsidRDefault="00943F0E">
      <w:pPr>
        <w:numPr>
          <w:ilvl w:val="0"/>
          <w:numId w:val="29"/>
        </w:numPr>
      </w:pPr>
      <w:r>
        <w:t>Felhasználói műveletek. Havonkénti átlagos óraszám, amit a felhasználó file- és adatm</w:t>
      </w:r>
      <w:r>
        <w:t>e</w:t>
      </w:r>
      <w:r>
        <w:t>nedzsmenttel, biztonsági mentése</w:t>
      </w:r>
      <w:r>
        <w:t>k elkészítésével, vagy a munkatárs és önmaga támogat</w:t>
      </w:r>
      <w:r>
        <w:t>á</w:t>
      </w:r>
      <w:r>
        <w:t>sával tölt.</w:t>
      </w:r>
    </w:p>
    <w:p w:rsidR="00000000" w:rsidRDefault="00943F0E">
      <w:pPr>
        <w:numPr>
          <w:ilvl w:val="0"/>
          <w:numId w:val="29"/>
        </w:numPr>
      </w:pPr>
      <w:r>
        <w:t>Állásidő: havonkénti állásidő (órákban)</w:t>
      </w:r>
    </w:p>
    <w:p w:rsidR="00000000" w:rsidRDefault="00943F0E">
      <w:pPr>
        <w:pStyle w:val="Cmsor2"/>
      </w:pPr>
      <w:bookmarkStart w:id="20" w:name="_Toc536839202"/>
      <w:r>
        <w:t>TCO a gyakorlatban – központi IT-menedzsment</w:t>
      </w:r>
      <w:bookmarkEnd w:id="20"/>
    </w:p>
    <w:p w:rsidR="00000000" w:rsidRDefault="00943F0E">
      <w:r>
        <w:t xml:space="preserve">A következőkben </w:t>
      </w:r>
      <w:r>
        <w:rPr>
          <w:smallCaps/>
        </w:rPr>
        <w:t xml:space="preserve">Kelenhegyi Péter </w:t>
      </w:r>
      <w:r>
        <w:t>előadása nyomán egy olyan technológiát mutatok be, melynek alkalmazása ha</w:t>
      </w:r>
      <w:r>
        <w:t>tására jelentős költségmegtakarítást értek el egyes vállalatok, ugyanakkor ezek a pozitív hatások jórészt csak a TCO-modell segítségével voltak számszerűsíthetők (</w:t>
      </w:r>
      <w:r>
        <w:rPr>
          <w:b/>
        </w:rPr>
        <w:t>[3]</w:t>
      </w:r>
      <w:r>
        <w:t xml:space="preserve"> </w:t>
      </w:r>
      <w:r>
        <w:rPr>
          <w:smallCaps/>
        </w:rPr>
        <w:t>Kelenhegyi</w:t>
      </w:r>
      <w:r>
        <w:t>, 1999).</w:t>
      </w:r>
    </w:p>
    <w:p w:rsidR="00000000" w:rsidRDefault="00943F0E">
      <w:r>
        <w:t>A NetPC technológia gyümölcseinek egyike a DMI csatoló (Desktop Manage</w:t>
      </w:r>
      <w:r>
        <w:t>ment Interface), melynek feladata, hogy biztosítsa a hálózatba kötött számítógépeknek a hálózaton keresztül tö</w:t>
      </w:r>
      <w:r>
        <w:t>r</w:t>
      </w:r>
      <w:r>
        <w:t xml:space="preserve">ténő menedzsmentjét. A számítógép és a hálózat közötti kaput képező DMI a Compaqnál az Insight Manager nevű felügyelőprogram képében jelenik meg </w:t>
      </w:r>
      <w:r>
        <w:t xml:space="preserve">a rendszergazda előtt. Az Insight Manager képes arra, hogy mind Compaq, mind más gyártók gépeivel adatokat cseréljen, vagyis heterogén hálózatban is lényegesen csökkenthetők a PC-karbantartás és -felügyelet költségei. </w:t>
      </w:r>
    </w:p>
    <w:p w:rsidR="00000000" w:rsidRDefault="00943F0E">
      <w:r>
        <w:t>Felmérések szerint a távoli PC- és sz</w:t>
      </w:r>
      <w:r>
        <w:t>erver-adminisztrációval 24 százalékkal kevesebb az IT-személyzet munkaköltsége, a több telephelyes vállalatoknál pedig 60 százalékkal mérsékelheti az utazási költségeket azzal, hogy a rendszergazdáknak nem kell sorra látogatniuk a fiókokat a ko</w:t>
      </w:r>
      <w:r>
        <w:t>n</w:t>
      </w:r>
      <w:r>
        <w:t>figuráció f</w:t>
      </w:r>
      <w:r>
        <w:t>eltérképezéséhez és beállításához. Például a CitiBank informatikusai rendkívül has</w:t>
      </w:r>
      <w:r>
        <w:t>z</w:t>
      </w:r>
      <w:r>
        <w:t>nosnak és költségkímélőnek találták, hogy nem kell végigjárniuk a bankfiókokat, ha meg akarják tudni az ott működő számítógépek sorozatszámát, konfigurációját, hisz ezeket az adatokat a kö</w:t>
      </w:r>
      <w:r>
        <w:t>z</w:t>
      </w:r>
      <w:r>
        <w:t xml:space="preserve">ponti számítógépről is lekérdezhetik. </w:t>
      </w:r>
    </w:p>
    <w:p w:rsidR="00000000" w:rsidRDefault="00943F0E">
      <w:r>
        <w:t>További előnye például a szo</w:t>
      </w:r>
      <w:r>
        <w:t>ftverek időzített telepítése: a rendszergazda beállíthatja, hogy a kö</w:t>
      </w:r>
      <w:r>
        <w:t>z</w:t>
      </w:r>
      <w:r>
        <w:t>ponti gép megadott időpontban „felébressze” a távoli munkaállomásokat, majd egyszerre min</w:t>
      </w:r>
      <w:r>
        <w:t>d</w:t>
      </w:r>
      <w:r>
        <w:t>egyikre telepítse a kívánt szoftververziókat, meghajtókat. Hasonló lehetőség a BIOS távoli friss</w:t>
      </w:r>
      <w:r>
        <w:t>í</w:t>
      </w:r>
      <w:r>
        <w:t>tése, a jelszavas titkosítás központi beállítása vagy a központi hibakeresés. Értékes percek tak</w:t>
      </w:r>
      <w:r>
        <w:t>a</w:t>
      </w:r>
      <w:r>
        <w:t>ríthatók meg, ha a rendszergazda gondoskodik a gépek időzített bekapcsolásáról, így a munkatá</w:t>
      </w:r>
      <w:r>
        <w:t>r</w:t>
      </w:r>
      <w:r>
        <w:t xml:space="preserve">sak munkakezdéskor már behívott alkalmazásaik elé ülhetnek. </w:t>
      </w:r>
    </w:p>
    <w:p w:rsidR="00000000" w:rsidRDefault="00943F0E">
      <w:pPr>
        <w:pStyle w:val="Cmsor2"/>
      </w:pPr>
      <w:bookmarkStart w:id="21" w:name="_Toc536839203"/>
      <w:r>
        <w:t>Öss</w:t>
      </w:r>
      <w:r>
        <w:t>zefoglalás</w:t>
      </w:r>
      <w:bookmarkEnd w:id="21"/>
    </w:p>
    <w:p w:rsidR="00000000" w:rsidRDefault="00943F0E">
      <w:r>
        <w:t>A TCO-modell(ek)ről tehát megállapíthatjuk, hogy igen jelentős előrelépést jelent(enek) a h</w:t>
      </w:r>
      <w:r>
        <w:t>a</w:t>
      </w:r>
      <w:r>
        <w:t>gyományos beruházás-megtérülési elemzésekhez képest, mivel a döntésben figyelembe veszi(k) az összes olyan tényezőt, amely az adott eszköz élettartama al</w:t>
      </w:r>
      <w:r>
        <w:t>att költséget okozhat. Ennek ker</w:t>
      </w:r>
      <w:r>
        <w:t>e</w:t>
      </w:r>
      <w:r>
        <w:t>tében számos tényező (pl. a támogatás, szervizszolgáltatás) költségvonzata – különös tekintettel az indirekt költségekre – „beemelhető” a döntési kritériumok közé, amelyeket eddig valamilyen minőségi kategóriával igyekeztek</w:t>
      </w:r>
      <w:r>
        <w:t xml:space="preserve"> jellemezni. </w:t>
      </w:r>
    </w:p>
    <w:p w:rsidR="00000000" w:rsidRDefault="00943F0E">
      <w:r>
        <w:lastRenderedPageBreak/>
        <w:t>A módszer kiválóan alkalmas arra, hogy akár egy új beruházás esetében az alternatívák összeh</w:t>
      </w:r>
      <w:r>
        <w:t>a</w:t>
      </w:r>
      <w:r>
        <w:t>sonlításával vagy a működé rendszer elemzésével megtalálja azokat a „rejtett” költségeket, m</w:t>
      </w:r>
      <w:r>
        <w:t>e</w:t>
      </w:r>
      <w:r>
        <w:t>lyek megléte nem szükségszerű, tehát megszüntetésükkel n</w:t>
      </w:r>
      <w:r>
        <w:t>övelhető a vállalkozás eredménye.</w:t>
      </w:r>
    </w:p>
    <w:p w:rsidR="00000000" w:rsidRDefault="00943F0E">
      <w:r>
        <w:t>Ugyanakkor azt is meg kell jegyezni, hogy a módszernek számos hátránya is van. Az első és le</w:t>
      </w:r>
      <w:r>
        <w:t>g</w:t>
      </w:r>
      <w:r>
        <w:t>fontosabb, hogy kizárólag a költségeket veszi számításba, nem foglalkozik az eszköz által létr</w:t>
      </w:r>
      <w:r>
        <w:t>e</w:t>
      </w:r>
      <w:r>
        <w:t>hozott eredménnyel. (Ennek segítsé</w:t>
      </w:r>
      <w:r>
        <w:t>gével sikerült félig-meddig megkerülni azt a (fő) kérdést, hogy mekkora értéket termel a szervezet számára az adott beruházás.) Szintén nehézséget okoz, hogy az esetek jelentős részében igen nehéz megállapítani, hogy az adott költségek ki (vagy mi) okozta,</w:t>
      </w:r>
      <w:r>
        <w:t xml:space="preserve"> és így a szervezet irányítására nem tökéletesen alkalmas eszköz. Például ha egy eszköz vagy alkalmazás támogatás-igénye magasabb az elvárt értéktől, csak közvetett módon lehet (ha egyáltalán lehetséges) megállapítani, hogy az eltérést az IS rosszminőségű </w:t>
      </w:r>
      <w:r>
        <w:t>munkája, a felhaszn</w:t>
      </w:r>
      <w:r>
        <w:t>á</w:t>
      </w:r>
      <w:r>
        <w:t xml:space="preserve">lók elégtelen képzése, vagy az adott eszköznek a feladatra való korlátozott alkalmassága okozta. </w:t>
      </w:r>
      <w:r>
        <w:rPr>
          <w:smallCaps/>
        </w:rPr>
        <w:t xml:space="preserve">Véry Zoltán </w:t>
      </w:r>
      <w:r>
        <w:t xml:space="preserve">a TCO legfontosabb jellemzőit az alábbiak szerint foglalta össze </w:t>
      </w:r>
      <w:r>
        <w:rPr>
          <w:i/>
        </w:rPr>
        <w:t xml:space="preserve">(3. táblázat) </w:t>
      </w:r>
      <w:r>
        <w:t>(</w:t>
      </w:r>
      <w:r>
        <w:rPr>
          <w:b/>
        </w:rPr>
        <w:t>[11]</w:t>
      </w:r>
      <w:r>
        <w:t xml:space="preserve"> </w:t>
      </w:r>
      <w:r>
        <w:rPr>
          <w:smallCaps/>
        </w:rPr>
        <w:t>Véry</w:t>
      </w:r>
      <w:r>
        <w:t>, 2001):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"/>
        <w:gridCol w:w="41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  <w:shd w:val="pct20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TCO előnyök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  <w:shd w:val="pct20" w:color="auto" w:fill="FFFFFF"/>
          </w:tcPr>
          <w:p w:rsidR="00000000" w:rsidRDefault="00943F0E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TCO hátrányok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lsősorban beszerzési döntésekhez használh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tó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irányításhoz nemigen használható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eszköz teljes életciklusára számol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Nincs csatolva teljesítmény-egység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életciklus alatt felmerülhető összes költség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Nincs csatolva költség-okozó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Egyszerű adatgyűjté</w:t>
            </w:r>
            <w:r>
              <w:rPr>
                <w:rFonts w:ascii="Arial" w:hAnsi="Arial"/>
                <w:sz w:val="18"/>
              </w:rPr>
              <w:t>s és kezelés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 rugalmas, nem változtatható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erőforrások szerint tagolt kategóriákkal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Sok féle értelmezése van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Elterjedt (főleg külföldön)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Kiegészítő nyilvántartást igényel</w:t>
            </w:r>
          </w:p>
        </w:tc>
      </w:tr>
    </w:tbl>
    <w:p w:rsidR="00000000" w:rsidRDefault="00943F0E">
      <w:pPr>
        <w:pStyle w:val="Kpalrs"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 táblázat: A TCO.modell összefoglaló értékelé</w:t>
      </w:r>
      <w:r>
        <w:t xml:space="preserve">se (Forrás: </w:t>
      </w:r>
      <w:r>
        <w:rPr>
          <w:smallCaps/>
        </w:rPr>
        <w:t>Véry</w:t>
      </w:r>
      <w:r>
        <w:t>, 2001)</w:t>
      </w:r>
    </w:p>
    <w:p w:rsidR="00000000" w:rsidRDefault="00943F0E">
      <w:r>
        <w:t>Külön kiemelendő szempont, hogy a TCO-nak számos értelmezése létezik, hiszen a GartnerGroup után számos cég alakította ki a maga TCO-modelljét és ehhez az elemző alkalm</w:t>
      </w:r>
      <w:r>
        <w:t>a</w:t>
      </w:r>
      <w:r>
        <w:t>zást, melyek mindegyikének az a lényege, hogy a beruházás élett</w:t>
      </w:r>
      <w:r>
        <w:t>artama alatt felmerülő költség</w:t>
      </w:r>
      <w:r>
        <w:t>e</w:t>
      </w:r>
      <w:r>
        <w:t>ket (illetve egyes esetekben a hasznokat) vizsgálja. Ezek után menedzser legyen a talpán, akinek sikerül kiválasztani az igazán neki való modellt. Egyes IT-vezetők úgy fogalmaznak, hogy az Egyesült Államokban legalább annyi T</w:t>
      </w:r>
      <w:r>
        <w:t>CO-szakértő van, mint amennyi fogyókúra-specialista.</w:t>
      </w:r>
    </w:p>
    <w:p w:rsidR="00000000" w:rsidRDefault="00943F0E">
      <w:r>
        <w:t>Ezeken túlmenően még a módszer egyik fontos korlátjára szeretném felhívni a figyelmet: az elj</w:t>
      </w:r>
      <w:r>
        <w:t>á</w:t>
      </w:r>
      <w:r>
        <w:t>rás önmagában nem alkalmas arra, hogy egy beruházásánál vagy fejlesztésnél a döntés kizáról</w:t>
      </w:r>
      <w:r>
        <w:t>a</w:t>
      </w:r>
      <w:r>
        <w:t>gos alapja legyen</w:t>
      </w:r>
      <w:r>
        <w:t>. Ennek oka az, hogy igazán nem foglalkozik a szervezet stratégiájával, üzleti folyamataival és igényeivel, tehát nem ezekhez képest ítél egy potenciális vagy működő alkalm</w:t>
      </w:r>
      <w:r>
        <w:t>a</w:t>
      </w:r>
      <w:r>
        <w:t>zást elvetendőnek vagy elfogadandónak.</w:t>
      </w:r>
    </w:p>
    <w:p w:rsidR="00000000" w:rsidRDefault="00943F0E">
      <w:r>
        <w:t>Érdemes megemlíteni, hogy az IT rendszerek t</w:t>
      </w:r>
      <w:r>
        <w:t>elepítése előtt (különösen, ha nem szerves fejlődés eredménye a beruházásra vonatkozó motiváció, hanem pl. pályázatok, költségvetési támogatások ad hoc felmerüléséhez kötött) a megrendelők túlnyomó többsége nem tudja pontosan milyen üzemeltetési helyzetekk</w:t>
      </w:r>
      <w:r>
        <w:t>el, azaz költségekkel (hasznossággal) kellene számolnia.</w:t>
      </w:r>
    </w:p>
    <w:p w:rsidR="00000000" w:rsidRDefault="00943F0E">
      <w:r>
        <w:t>Az IT-beruházási alternatívák értékelésére tehát mindenképpen egy komplex módszert szükséges alkalmazni, mely természetesen magában foglalja a költségek vizsgálatát is. Az informatikai pi</w:t>
      </w:r>
      <w:r>
        <w:t>a</w:t>
      </w:r>
      <w:r>
        <w:t>con termész</w:t>
      </w:r>
      <w:r>
        <w:t>etesen számos ilyen megoldás létezik, melyek közül a követ</w:t>
      </w:r>
      <w:r>
        <w:t>kező fejezetben a Micr</w:t>
      </w:r>
      <w:r>
        <w:t>o</w:t>
      </w:r>
      <w:r>
        <w:t>soft Rapid Economic Justification (REJ) keretrendszerét szeretném bemutatni.</w:t>
      </w:r>
    </w:p>
    <w:p w:rsidR="00000000" w:rsidRDefault="00943F0E">
      <w:pPr>
        <w:pStyle w:val="Cmsor1"/>
      </w:pPr>
      <w:r>
        <w:br w:type="page"/>
      </w:r>
      <w:bookmarkStart w:id="22" w:name="_Toc536839204"/>
      <w:r>
        <w:lastRenderedPageBreak/>
        <w:t>Az IT-projektek átfogó értékelése</w:t>
      </w:r>
      <w:bookmarkEnd w:id="22"/>
    </w:p>
    <w:p w:rsidR="00000000" w:rsidRDefault="00943F0E">
      <w:pPr>
        <w:pStyle w:val="Cmsor2"/>
      </w:pPr>
      <w:bookmarkStart w:id="23" w:name="_Toc536839205"/>
      <w:r>
        <w:t>A REJ és a BEIS</w:t>
      </w:r>
      <w:bookmarkEnd w:id="23"/>
    </w:p>
    <w:p w:rsidR="00000000" w:rsidRDefault="00943F0E">
      <w:pPr>
        <w:rPr>
          <w:b/>
        </w:rPr>
      </w:pPr>
      <w:r>
        <w:t>A REJ (Rapid Economic Justification) a Microsoft és az Intellectual Arbitrage kísérlete arra, hogy az IT-</w:t>
      </w:r>
      <w:r>
        <w:t>projektek értékelésére és kialakítására az eddigieknél jobban kiegyensúlyozott me</w:t>
      </w:r>
      <w:r>
        <w:t>g</w:t>
      </w:r>
      <w:r>
        <w:t>közelítésmódot fejlesszen ki. A REJ az értékelés egyensúlyának lehetőségét kínálja, szemben a költségmodellekkel (pl. TCO), melyek csak a költségek alakulásával foglalkoznak.</w:t>
      </w:r>
      <w:r>
        <w:t xml:space="preserve"> (</w:t>
      </w:r>
      <w:r>
        <w:rPr>
          <w:b/>
        </w:rPr>
        <w:t>[5]</w:t>
      </w:r>
      <w:r>
        <w:t xml:space="preserve"> </w:t>
      </w:r>
      <w:r>
        <w:rPr>
          <w:smallCaps/>
        </w:rPr>
        <w:t>Seitz</w:t>
      </w:r>
      <w:r>
        <w:t>, 1999)</w:t>
      </w:r>
    </w:p>
    <w:p w:rsidR="00000000" w:rsidRDefault="00943F0E">
      <w:r>
        <w:t>A tisztán költségorientált modellekkel szemben a REJ egyszerre vizsgálja a költségeket és a hasznokat az egész vállalat összefüggésében. A REJ a gazdasági elemzések adatait és folyamatát gyorsan végrehajtható és nagymértékben fókuszált l</w:t>
      </w:r>
      <w:r>
        <w:t>épések sorozatába koncentrálja, melyek mindegyikéhez jól meghatározott kimenetet és javasolt végrehajtási technikát ajánl.</w:t>
      </w:r>
    </w:p>
    <w:p w:rsidR="00000000" w:rsidRDefault="00943F0E">
      <w:r>
        <w:t>A BEIS (Business</w:t>
      </w:r>
      <w:r>
        <w:t xml:space="preserve"> Enviromental/Economic Impact Statement) a REJ-jel párhuzamosan fejlődött. Ez az eljárás a REJ bátyjának tekinthető, mivel több részletes módszertani adatot és technikát tartalmaz. A BEIS nagyobb sebességgel fog fejlődni, mely az inkább gyakorlati természe</w:t>
      </w:r>
      <w:r>
        <w:t>tének köszönhető. (</w:t>
      </w:r>
      <w:r>
        <w:rPr>
          <w:b/>
        </w:rPr>
        <w:t>[5]</w:t>
      </w:r>
      <w:r>
        <w:t xml:space="preserve"> </w:t>
      </w:r>
      <w:r>
        <w:rPr>
          <w:smallCaps/>
        </w:rPr>
        <w:t>Seitz</w:t>
      </w:r>
      <w:r>
        <w:t>, 1999)</w:t>
      </w:r>
    </w:p>
    <w:p w:rsidR="00000000" w:rsidRDefault="00943F0E">
      <w:r>
        <w:t>A BEIS a módszertanhoz tartozó számos technikát, eszközt és megoldási utat foglal magában, ezzel szemben a REJ maga egy lehetséges megoldási út. A BEIS mélyebb vizsgálatot, statisztikai korrelációk és az üzleti stratégiá</w:t>
      </w:r>
      <w:r>
        <w:t>hoz való viszony elemzését is lehetővé teszi. Viszont a REJ-től eltérő utak használata jóval több időt és erőfeszítést emészt fel, és nem ajánlott olyan vállalato</w:t>
      </w:r>
      <w:r>
        <w:t>k</w:t>
      </w:r>
      <w:r>
        <w:t xml:space="preserve">nak, melyeknek nincs gyakorlatuk az IT-megvalósíthatósági tanulmányok kidolgozásában. </w:t>
      </w:r>
    </w:p>
    <w:p w:rsidR="00000000" w:rsidRDefault="00943F0E">
      <w:r>
        <w:t>Általá</w:t>
      </w:r>
      <w:r>
        <w:t>ban a legtöbb egyszerű vagy mérsékelten összetett projekt estében a REJ több mint elege</w:t>
      </w:r>
      <w:r>
        <w:t>n</w:t>
      </w:r>
      <w:r>
        <w:t>dő ahhoz, hogy egyszerre elégítse ki az igényeket és megfeleljen az időben gazdaságos elemzés feltételének. Ha a gyors elemzés elengedhetetlen, a REJ a megfelelő v</w:t>
      </w:r>
      <w:r>
        <w:t>á</w:t>
      </w:r>
      <w:r>
        <w:t>lasz</w:t>
      </w:r>
      <w:r>
        <w:t>tás.</w:t>
      </w:r>
    </w:p>
    <w:p w:rsidR="00000000" w:rsidRDefault="00943F0E">
      <w:pPr>
        <w:pStyle w:val="Cmsor2"/>
      </w:pPr>
      <w:bookmarkStart w:id="24" w:name="_Toc536839206"/>
      <w:r>
        <w:t>A REJ alapvető elemei</w:t>
      </w:r>
      <w:bookmarkEnd w:id="24"/>
    </w:p>
    <w:p w:rsidR="00000000" w:rsidRDefault="00943F0E">
      <w:r>
        <w:t>A REJ-keretrendszer célja, hogy segítse a tervezett IT-befektetések értékelésében és számszerűs</w:t>
      </w:r>
      <w:r>
        <w:t>í</w:t>
      </w:r>
      <w:r>
        <w:t>tésében. A módszer segítségével biztosítható az IT-befektetések értékelése a szervezet számára kiemelkedően fontos üzleti feladatok m</w:t>
      </w:r>
      <w:r>
        <w:t>egszabta kereteken belül. A REJ ezen üzleti feladatokra, mint kritikus sikertényezőkre (Critical Succes Factor – CSF) hivatkozik.</w:t>
      </w:r>
    </w:p>
    <w:p w:rsidR="00000000" w:rsidRDefault="00943F0E">
      <w:r>
        <w:t>A módszer alkalmas az IT-befektetések egyenkénti értékelésére, ideértve a specifikus technológ</w:t>
      </w:r>
      <w:r>
        <w:t>i</w:t>
      </w:r>
      <w:r>
        <w:t>ákat és termékeket is. A keretr</w:t>
      </w:r>
      <w:r>
        <w:t>endszer képes együttműködni más elemző eljárásokkal, pl. IT-portfolió menedzsment, Balanced Scorecard és a különböző élettartam alatti költséget elemző módszerek.</w:t>
      </w:r>
    </w:p>
    <w:p w:rsidR="00000000" w:rsidRDefault="00943F0E">
      <w:r>
        <w:t xml:space="preserve">Egy REJ-tanulmány elkészítése három fázisból áll </w:t>
      </w:r>
      <w:r>
        <w:rPr>
          <w:b/>
        </w:rPr>
        <w:t>[4]</w:t>
      </w:r>
      <w:r>
        <w:t>:</w:t>
      </w:r>
    </w:p>
    <w:p w:rsidR="00000000" w:rsidRDefault="00943F0E">
      <w:pPr>
        <w:numPr>
          <w:ilvl w:val="0"/>
          <w:numId w:val="30"/>
        </w:numPr>
      </w:pPr>
      <w:r>
        <w:rPr>
          <w:b/>
        </w:rPr>
        <w:t>Csapat-szerepek és -felelősségek defini</w:t>
      </w:r>
      <w:r>
        <w:rPr>
          <w:b/>
        </w:rPr>
        <w:t>álása:</w:t>
      </w:r>
      <w:r>
        <w:t xml:space="preserve"> A csapat kialakítása azon alapszik, hogy a legjobb IT-befektetési döntéseket sok szakterületről összeállított szakembergárda hozza meg. Ez a hozzáállás összehozza a gazdasági, az IT-, és a finanszírozási szakembereket, így a befektetési döntést több</w:t>
      </w:r>
      <w:r>
        <w:t xml:space="preserve"> szempontból vizsgálhatják.</w:t>
      </w:r>
    </w:p>
    <w:p w:rsidR="00000000" w:rsidRDefault="00943F0E">
      <w:pPr>
        <w:numPr>
          <w:ilvl w:val="0"/>
          <w:numId w:val="30"/>
        </w:numPr>
      </w:pPr>
      <w:r>
        <w:rPr>
          <w:b/>
        </w:rPr>
        <w:lastRenderedPageBreak/>
        <w:t>Előkészületek az üzleti tanulmány elvégzésére (irányvonalat megszabása, melyek alapján a gazdasági és az IT-vezetés elé lehet vinni a tanulmányt)</w:t>
      </w:r>
      <w:r>
        <w:t xml:space="preserve"> A REJ célja, hogy olyan tanulmányt hozzon létre, mely segíti a vezetést a szóban f</w:t>
      </w:r>
      <w:r>
        <w:t>orgó IT-befektetés érték</w:t>
      </w:r>
      <w:r>
        <w:t>é</w:t>
      </w:r>
      <w:r>
        <w:t>nek jobb megértésében. Ez különösen fontos, mivel az IT-befektetések a szervezett más befektetéseinek konkurensei. A tanulmány végső célja, hogy rögzítse a csapat megállap</w:t>
      </w:r>
      <w:r>
        <w:t>í</w:t>
      </w:r>
      <w:r>
        <w:t>tásait, megmutassa, hogyan viszonyul a felvázolt megoldás a</w:t>
      </w:r>
      <w:r>
        <w:t>z üzleti igényekhez, és rö</w:t>
      </w:r>
      <w:r>
        <w:t>g</w:t>
      </w:r>
      <w:r>
        <w:t>zítse a megoldás várható finanszírozási hasznait.</w:t>
      </w:r>
    </w:p>
    <w:p w:rsidR="00000000" w:rsidRDefault="00943F0E">
      <w:pPr>
        <w:numPr>
          <w:ilvl w:val="0"/>
          <w:numId w:val="30"/>
        </w:numPr>
      </w:pPr>
      <w:r>
        <w:rPr>
          <w:b/>
        </w:rPr>
        <w:t>A tanulmány elkészítésének folyamata (technikák és eszközök a vizsgálat elvégzés</w:t>
      </w:r>
      <w:r>
        <w:rPr>
          <w:b/>
        </w:rPr>
        <w:t>é</w:t>
      </w:r>
      <w:r>
        <w:rPr>
          <w:b/>
        </w:rPr>
        <w:t xml:space="preserve">hez): </w:t>
      </w:r>
      <w:r>
        <w:t>A REJ segíti az IT-menedzsereket abban, hogy összekössék a technológiai dönt</w:t>
      </w:r>
      <w:r>
        <w:t>é</w:t>
      </w:r>
      <w:r>
        <w:t>sekre vonatkozó</w:t>
      </w:r>
      <w:r>
        <w:t xml:space="preserve"> információkat a vállalat számára fontos üzleti fejezetekkel. A módszer egyesíti magában a népszerű IT-befektetések értékelésére szolgáló stratégiák elemeit a Microsoft Solution Framework (MSF) elemeivel, hogy egy gyors és hatékony folyamatot alakítson ki </w:t>
      </w:r>
      <w:r>
        <w:t xml:space="preserve">az IT-befektetési döntések értékelésére. </w:t>
      </w:r>
    </w:p>
    <w:p w:rsidR="00000000" w:rsidRDefault="00943F0E">
      <w:pPr>
        <w:pStyle w:val="Cmsor2"/>
      </w:pPr>
      <w:bookmarkStart w:id="25" w:name="_Toc536839207"/>
      <w:r>
        <w:t>A REJ-projekt modellje</w:t>
      </w:r>
      <w:bookmarkEnd w:id="25"/>
    </w:p>
    <w:p w:rsidR="00000000" w:rsidRDefault="00943F0E">
      <w:r>
        <w:t xml:space="preserve">A folyamat öt jól elkülöníthető lépésből áll </w:t>
      </w:r>
      <w:r>
        <w:rPr>
          <w:b/>
        </w:rPr>
        <w:t>[4]</w:t>
      </w:r>
      <w:r>
        <w:t>:</w:t>
      </w:r>
    </w:p>
    <w:p w:rsidR="00000000" w:rsidRDefault="00943F0E">
      <w:pPr>
        <w:numPr>
          <w:ilvl w:val="0"/>
          <w:numId w:val="8"/>
        </w:numPr>
      </w:pPr>
      <w:r>
        <w:rPr>
          <w:b/>
        </w:rPr>
        <w:t>Az üzleti helyzet felmérése:</w:t>
      </w:r>
      <w:r>
        <w:t xml:space="preserve"> a REJ-csapat azzal kezdi a munkát, hogy azonosítja a dö</w:t>
      </w:r>
      <w:r>
        <w:t>n</w:t>
      </w:r>
      <w:r>
        <w:t>téshozók (stakeholders) számára fontos területeket. Ezál</w:t>
      </w:r>
      <w:r>
        <w:t>tal képes a csapat összehangolni az IT-döntéseket a szervezet számára kritikus területekkel. Ez az összehangoló tevéken</w:t>
      </w:r>
      <w:r>
        <w:t>y</w:t>
      </w:r>
      <w:r>
        <w:t>ség biztosítja a REJ-tanulmány gyors kivitelezését, mivel a csapat csak azokra a tényező</w:t>
      </w:r>
      <w:r>
        <w:t>k</w:t>
      </w:r>
      <w:r>
        <w:t>re koncentrál, melyek igazán lényegesek a kitűz</w:t>
      </w:r>
      <w:r>
        <w:t>ött célok eléréséért.</w:t>
      </w:r>
    </w:p>
    <w:p w:rsidR="00000000" w:rsidRDefault="00943F0E">
      <w:pPr>
        <w:numPr>
          <w:ilvl w:val="0"/>
          <w:numId w:val="8"/>
        </w:numPr>
      </w:pPr>
      <w:r>
        <w:rPr>
          <w:b/>
        </w:rPr>
        <w:t xml:space="preserve">A megoldás meghatározása: </w:t>
      </w:r>
      <w:r>
        <w:t xml:space="preserve">Miután a csapat befejezte az üzleti helyzet felmérését, meghatározzák azokat a tevékenységeket, melyek a legjobban kötődhetnek a vállalt CSF-aihoz. Ez lehetővé teszi, hogy a csapat annak alapján definiálja a </w:t>
      </w:r>
      <w:r>
        <w:t>megoldást, hogy az h</w:t>
      </w:r>
      <w:r>
        <w:t>o</w:t>
      </w:r>
      <w:r>
        <w:t>gyan segít fejleszteni a kritikus üzleti tevékenységeket.</w:t>
      </w:r>
    </w:p>
    <w:p w:rsidR="00000000" w:rsidRDefault="00943F0E">
      <w:pPr>
        <w:numPr>
          <w:ilvl w:val="0"/>
          <w:numId w:val="8"/>
        </w:numPr>
      </w:pPr>
      <w:r>
        <w:rPr>
          <w:b/>
        </w:rPr>
        <w:t xml:space="preserve">A hasznok és költségek felbecslése: </w:t>
      </w:r>
      <w:r>
        <w:t>Miután meghatározták a kialakítandó megoldást, a következő feladatuk, hogy megbecsüljék a potenciális hasznokat ugyanúgy, mint az ezek elérés</w:t>
      </w:r>
      <w:r>
        <w:t>e közben felmerülő költségeket. Ezen tényezőket a hagyományos cash-flow tervezés alapján határozzák meg.</w:t>
      </w:r>
    </w:p>
    <w:p w:rsidR="00000000" w:rsidRDefault="00943F0E">
      <w:pPr>
        <w:numPr>
          <w:ilvl w:val="0"/>
          <w:numId w:val="8"/>
        </w:numPr>
      </w:pPr>
      <w:r>
        <w:rPr>
          <w:b/>
        </w:rPr>
        <w:t>A kockázatok meghatározása:</w:t>
      </w:r>
      <w:r>
        <w:t xml:space="preserve"> Mivel a projekt kezdetén nem ismerhetünk minden t</w:t>
      </w:r>
      <w:r>
        <w:t>é</w:t>
      </w:r>
      <w:r>
        <w:t>nyezőt, egyetlen IT-befektetés sem kerülheti el a kockázatot. Ebben a fáz</w:t>
      </w:r>
      <w:r>
        <w:t>isban a csapat megkísérli azonosítani és számszerűsíteni a projekt bizonytalan ter</w:t>
      </w:r>
      <w:r>
        <w:t>ü</w:t>
      </w:r>
      <w:r>
        <w:t xml:space="preserve">leteit. </w:t>
      </w:r>
    </w:p>
    <w:p w:rsidR="00000000" w:rsidRDefault="00943F0E">
      <w:pPr>
        <w:numPr>
          <w:ilvl w:val="0"/>
          <w:numId w:val="8"/>
        </w:numPr>
      </w:pPr>
      <w:r>
        <w:rPr>
          <w:b/>
        </w:rPr>
        <w:t xml:space="preserve">A finanszírozási mérőszámok számítása: </w:t>
      </w:r>
      <w:r>
        <w:t>Az időtényezővel és a kockázatokkal módos</w:t>
      </w:r>
      <w:r>
        <w:t>í</w:t>
      </w:r>
      <w:r>
        <w:t>tott cash-flow számítások alapján az eredményeket kifejezik a szervezetnél alkalmaz</w:t>
      </w:r>
      <w:r>
        <w:t>ott finanszírozási mérőszámokkal is (Pl: NPV, IRR, EVA, megtérülési idő). Miután az összes információt begyűjtötték és elemezték, a csapat elkészíti a tanulmányt, mely körvonalazza az üzleti igényeket kielégítő technológiai beruházást.</w:t>
      </w:r>
    </w:p>
    <w:p w:rsidR="00000000" w:rsidRDefault="00943F0E">
      <w:pPr>
        <w:pStyle w:val="Cmsor3"/>
      </w:pPr>
      <w:bookmarkStart w:id="26" w:name="_Toc536839208"/>
      <w:r>
        <w:t>Első lépés: Az üzlet</w:t>
      </w:r>
      <w:r>
        <w:t>i helyzet felmérése</w:t>
      </w:r>
      <w:bookmarkEnd w:id="26"/>
    </w:p>
    <w:p w:rsidR="00000000" w:rsidRDefault="00943F0E">
      <w:r>
        <w:t>A REJ első lépése az üzletileg fontos területek megismerése. A cél az, hogy bármilyen IT-fejlesztési döntésnek egységet kell mutatnia a szervezet általános céljaival. A csapat ennek során áttekinti az üzleti terveket, stratégiai terveke</w:t>
      </w:r>
      <w:r>
        <w:t xml:space="preserve">t, értéklánc-elemzéseket illetve interjúkat készít a döntéshozókkal. </w:t>
      </w:r>
    </w:p>
    <w:p w:rsidR="00000000" w:rsidRDefault="00943F0E">
      <w:r>
        <w:lastRenderedPageBreak/>
        <w:t>A csapat azonosítja:</w:t>
      </w:r>
    </w:p>
    <w:p w:rsidR="00000000" w:rsidRDefault="00943F0E">
      <w:pPr>
        <w:numPr>
          <w:ilvl w:val="0"/>
          <w:numId w:val="9"/>
        </w:numPr>
      </w:pPr>
      <w:r>
        <w:t>A szervezet CSF-it,</w:t>
      </w:r>
    </w:p>
    <w:p w:rsidR="00000000" w:rsidRDefault="00943F0E">
      <w:pPr>
        <w:numPr>
          <w:ilvl w:val="0"/>
          <w:numId w:val="9"/>
        </w:numPr>
      </w:pPr>
      <w:r>
        <w:t>A szervezet stratégiáit, mellyel elérni reméli a CSF-kat.</w:t>
      </w:r>
    </w:p>
    <w:p w:rsidR="00000000" w:rsidRDefault="00943F0E">
      <w:pPr>
        <w:numPr>
          <w:ilvl w:val="0"/>
          <w:numId w:val="9"/>
        </w:numPr>
      </w:pPr>
      <w:r>
        <w:t>Azokat a mérőszámokat – Key Performance Indicators (KPI) – melyekkel a szervezet a sike</w:t>
      </w:r>
      <w:r>
        <w:t>rt méri.</w:t>
      </w:r>
    </w:p>
    <w:p w:rsidR="00000000" w:rsidRDefault="00943F0E">
      <w:r>
        <w:t>A megállapításokat ún. „összehangoló táblázatban” rögzíti, melyben felvázolják, hogy az egyes döntéshozók (érintettek) milyen kritikus sikertényezőket tartanak elsődlegesnek, azok eléréséhez milyen stratégiát alkalmaznak és milyen mutatószámmal vi</w:t>
      </w:r>
      <w:r>
        <w:t>zsgálják annak megvalósulását.</w:t>
      </w:r>
    </w:p>
    <w:p w:rsidR="00000000" w:rsidRDefault="00943F0E">
      <w:r>
        <w:t xml:space="preserve">Pl. az </w:t>
      </w:r>
      <w:r>
        <w:rPr>
          <w:i/>
        </w:rPr>
        <w:t>„értékesítés hatékonysága”</w:t>
      </w:r>
      <w:r>
        <w:t>, mint CSF esetében azonosíthatnak olyan tényezőket, mely</w:t>
      </w:r>
      <w:r>
        <w:t>e</w:t>
      </w:r>
      <w:r>
        <w:t>ken keresztül hatékonysága növekedhet nagyobb IT-támogatás mellett:</w:t>
      </w:r>
    </w:p>
    <w:p w:rsidR="00000000" w:rsidRDefault="00943F0E">
      <w:pPr>
        <w:numPr>
          <w:ilvl w:val="0"/>
          <w:numId w:val="12"/>
        </w:numPr>
      </w:pPr>
      <w:r>
        <w:t>A fogyasztókat termékinformációkkal látjuk el,</w:t>
      </w:r>
    </w:p>
    <w:p w:rsidR="00000000" w:rsidRDefault="00943F0E">
      <w:pPr>
        <w:numPr>
          <w:ilvl w:val="0"/>
          <w:numId w:val="12"/>
        </w:numPr>
      </w:pPr>
      <w:r>
        <w:t>Termékbemutatókat t</w:t>
      </w:r>
      <w:r>
        <w:t>artunk a fogyasztóknak,</w:t>
      </w:r>
    </w:p>
    <w:p w:rsidR="00000000" w:rsidRDefault="00943F0E">
      <w:pPr>
        <w:numPr>
          <w:ilvl w:val="0"/>
          <w:numId w:val="12"/>
        </w:numPr>
      </w:pPr>
      <w:r>
        <w:t>A versenyző árajánlatokra azonnal (real-time) válaszolunk.</w:t>
      </w:r>
    </w:p>
    <w:p w:rsidR="00000000" w:rsidRDefault="00943F0E">
      <w:pPr>
        <w:pStyle w:val="Cmsor3"/>
      </w:pPr>
      <w:bookmarkStart w:id="27" w:name="_Toc536839209"/>
      <w:r>
        <w:t>Második lépés: Az IT- megoldás meghatározása</w:t>
      </w:r>
      <w:bookmarkEnd w:id="27"/>
    </w:p>
    <w:p w:rsidR="00000000" w:rsidRDefault="00943F0E">
      <w:r>
        <w:t xml:space="preserve">A csapat megállapítja, hogy minden egyes, az előző fázisban feltérképezett tevékenység hogyan fejleszthető az IT használatával. </w:t>
      </w:r>
      <w:r>
        <w:t>Ezt követően minden olyan tevékenységhez, mely profitálhat az IT-támogatásból, azonosítják a szükséges feltételt (Required Enabler – RE), mely az a technol</w:t>
      </w:r>
      <w:r>
        <w:t>ó</w:t>
      </w:r>
      <w:r>
        <w:t>giai lehetőség vagy képesség, mely lehetővé teszi az elvárt tevékenység megvalósítását. Ame</w:t>
      </w:r>
      <w:r>
        <w:t>n</w:t>
      </w:r>
      <w:r>
        <w:t>nyiben e</w:t>
      </w:r>
      <w:r>
        <w:t>z egyezik a megoldás képességeivel, a megoldás értéket ad a tevékenységhez. A csapat minden egyes ilyen egyezőség esetében kiállít egy „érték-jelentést”. A csapat ok-okozat elemzést használhat annak megállapítására, hogy az egyes tevékenységekhez milyen té</w:t>
      </w:r>
      <w:r>
        <w:t>nyezők kapcsoló</w:t>
      </w:r>
      <w:r>
        <w:t>d</w:t>
      </w:r>
      <w:r>
        <w:t xml:space="preserve">nak. </w:t>
      </w:r>
    </w:p>
    <w:p w:rsidR="00000000" w:rsidRDefault="00943F0E">
      <w:r>
        <w:t xml:space="preserve">Egy példával illusztrálva: A </w:t>
      </w:r>
      <w:r>
        <w:rPr>
          <w:i/>
        </w:rPr>
        <w:t>„Termékinformációk nyújtása a fogyasztó felé”</w:t>
      </w:r>
      <w:r>
        <w:t xml:space="preserve"> tényező esetében megállapították, hogy a </w:t>
      </w:r>
      <w:r>
        <w:rPr>
          <w:i/>
        </w:rPr>
        <w:t>„termékinformációk vizsgálata”</w:t>
      </w:r>
      <w:r>
        <w:t xml:space="preserve"> egy kulcstevékenység, mivel az érték</w:t>
      </w:r>
      <w:r>
        <w:t>e</w:t>
      </w:r>
      <w:r>
        <w:t>sítésben dolgozó emberek idejüknek legalább 50%-át</w:t>
      </w:r>
      <w:r>
        <w:t xml:space="preserve"> árak, specifikációk, és egyéb termékinfo</w:t>
      </w:r>
      <w:r>
        <w:t>r</w:t>
      </w:r>
      <w:r>
        <w:t>mációk vizsgálatával töltik. Ez az idő természetesen csökkenti a fogyasztókra fordítható időt. A csapat arra a következtetésre jutott, hogy az értékesítési idő-veszteség megszüntethető, ha a sz</w:t>
      </w:r>
      <w:r>
        <w:t>e</w:t>
      </w:r>
      <w:r>
        <w:t>mélyzet laptopjain a</w:t>
      </w:r>
      <w:r>
        <w:t>utomatikusan frissülnek az információk, ahányszor csak csatlakozik az irod</w:t>
      </w:r>
      <w:r>
        <w:t>á</w:t>
      </w:r>
      <w:r>
        <w:t>jához.</w:t>
      </w:r>
    </w:p>
    <w:p w:rsidR="00000000" w:rsidRDefault="00943F0E">
      <w:r>
        <w:t>Következő lépésként azt kell meghatározni, hogy milyen technológiai megoldás képes ezt a k</w:t>
      </w:r>
      <w:r>
        <w:t>é</w:t>
      </w:r>
      <w:r>
        <w:t>pességet nyújtani. A hasznosságtérképek áttanulmányozása után arra a következtetésr</w:t>
      </w:r>
      <w:r>
        <w:t xml:space="preserve">e jutottak, hogy a Windows 2000 Professional rendelkezik az automatikus szinkronizáció képességével. Ezek után kiállították a következő érték-jelentést: </w:t>
      </w:r>
    </w:p>
    <w:p w:rsidR="00000000" w:rsidRDefault="00943F0E">
      <w:pPr>
        <w:pStyle w:val="Szvegtrzs"/>
      </w:pPr>
      <w:r>
        <w:t>„A Windows 2000 alkalmazásával növelhetjük azt az időt, melyet az értékesítő a vevőkkel tölt, azáltal,</w:t>
      </w:r>
      <w:r>
        <w:t xml:space="preserve"> hogy csökkentjük a termékinformációk vizsgálatára fordított időt.”</w:t>
      </w:r>
    </w:p>
    <w:p w:rsidR="00000000" w:rsidRDefault="00943F0E">
      <w:r>
        <w:t>Az eredmények összefoglalásaként egy tevékenység-táblázat születik, melyben a fenti példához hasonlóan rögzítenek minden egyes tevékenységet. Azon belül a jelenlegi és az elérendő állap</w:t>
      </w:r>
      <w:r>
        <w:t>o</w:t>
      </w:r>
      <w:r>
        <w:t>to</w:t>
      </w:r>
      <w:r>
        <w:t>t, a szükséges technológiai feltételeket, az ehhez kiállított „érték-jelentést”, és a tervezett me</w:t>
      </w:r>
      <w:r>
        <w:t>g</w:t>
      </w:r>
      <w:r>
        <w:t>oldás tényleges technológiai képességét.</w:t>
      </w:r>
    </w:p>
    <w:p w:rsidR="00000000" w:rsidRDefault="00943F0E">
      <w:r>
        <w:lastRenderedPageBreak/>
        <w:t>Ennek a fázisnak a végén az érték-jelentéseket egyeztetni lehet a döntéshozókkal, hogy számukra is elfogadhatók-e. Ő</w:t>
      </w:r>
      <w:r>
        <w:t>k kiválaszthatják azokat az értékeket, melyek legfontosabbak a vállalat sz</w:t>
      </w:r>
      <w:r>
        <w:t>á</w:t>
      </w:r>
      <w:r>
        <w:t xml:space="preserve">mára. </w:t>
      </w:r>
    </w:p>
    <w:p w:rsidR="00000000" w:rsidRDefault="00943F0E">
      <w:pPr>
        <w:pStyle w:val="Cmsor3"/>
      </w:pPr>
      <w:bookmarkStart w:id="28" w:name="_Toc536839210"/>
      <w:r>
        <w:t>Harmadik lépés: A hasznok és költségek felbecslése</w:t>
      </w:r>
      <w:bookmarkEnd w:id="28"/>
    </w:p>
    <w:p w:rsidR="00000000" w:rsidRDefault="00943F0E">
      <w:r>
        <w:t>A befektetési döntés azon alapszik, hogy mennyiben felel meg a megoldás a vállalat igényeinek. A profitorientált szervezete</w:t>
      </w:r>
      <w:r>
        <w:t xml:space="preserve">knél az a döntési alapja, hogy mennyi készpénzt vagy vagyont állít elő a megoldás. A non-profit szervezeteknél általában azt vizsgálják, hogy mennyi pénzt takarít meg a szervezet a megoldás bevezetésével. </w:t>
      </w:r>
    </w:p>
    <w:p w:rsidR="00000000" w:rsidRDefault="00943F0E">
      <w:r>
        <w:t>Ebben a fázisban a csapat számba veszi a bevezetés</w:t>
      </w:r>
      <w:r>
        <w:t xml:space="preserve"> eredményezte hasznokat és költségeket, v</w:t>
      </w:r>
      <w:r>
        <w:t>a</w:t>
      </w:r>
      <w:r>
        <w:t>lamint elkészít egy cash-flow-jelentést, melyen keresztül a felső vezetés meghatározza a beruh</w:t>
      </w:r>
      <w:r>
        <w:t>á</w:t>
      </w:r>
      <w:r>
        <w:t>zás relatív értékét.</w:t>
      </w:r>
    </w:p>
    <w:p w:rsidR="00000000" w:rsidRDefault="00943F0E">
      <w:r>
        <w:t>Az IT-menedzserek számára az a könnyebb feladat, hogy hogyan kövesse nyomon és mérje a költségeket</w:t>
      </w:r>
      <w:r>
        <w:t xml:space="preserve"> (Pl. a TCO-hoz hasonló modellek segítségével). Ezzel szemben az IT okozta hasznok mérése komoly problémákat okozhat. Hagyományosan ez alatt a megoldás bevezetése által eredményezett munkaköltség-megtakarítást értik. Ez a megközelítésmód azonban bizonyos f</w:t>
      </w:r>
      <w:r>
        <w:t>e</w:t>
      </w:r>
      <w:r>
        <w:t>l</w:t>
      </w:r>
      <w:r>
        <w:t>használói csoportok esetében – pl. tudásalapú dolgozók (knowledge workers) – nem ad teljes képet, ezért számos további érték</w:t>
      </w:r>
      <w:r>
        <w:t>mérőt érdemes figyelembe venni:</w:t>
      </w:r>
    </w:p>
    <w:p w:rsidR="00000000" w:rsidRDefault="00943F0E">
      <w:pPr>
        <w:numPr>
          <w:ilvl w:val="0"/>
          <w:numId w:val="14"/>
        </w:numPr>
      </w:pPr>
      <w:r>
        <w:t>A tudásalapú dolgozók termelésre fordítható ideje növekszik,</w:t>
      </w:r>
    </w:p>
    <w:p w:rsidR="00000000" w:rsidRDefault="00943F0E">
      <w:pPr>
        <w:numPr>
          <w:ilvl w:val="0"/>
          <w:numId w:val="14"/>
        </w:numPr>
      </w:pPr>
      <w:r>
        <w:t>A ciklusidő csökken,</w:t>
      </w:r>
    </w:p>
    <w:p w:rsidR="00000000" w:rsidRDefault="00943F0E">
      <w:pPr>
        <w:numPr>
          <w:ilvl w:val="0"/>
          <w:numId w:val="14"/>
        </w:numPr>
      </w:pPr>
      <w:r>
        <w:t>A felhasznált működő tőke csökken,</w:t>
      </w:r>
    </w:p>
    <w:p w:rsidR="00000000" w:rsidRDefault="00943F0E">
      <w:pPr>
        <w:numPr>
          <w:ilvl w:val="0"/>
          <w:numId w:val="14"/>
        </w:numPr>
      </w:pPr>
      <w:r>
        <w:t>A támogatási és infrastrukturális költségek csökkennek,</w:t>
      </w:r>
    </w:p>
    <w:p w:rsidR="00000000" w:rsidRDefault="00943F0E">
      <w:pPr>
        <w:numPr>
          <w:ilvl w:val="0"/>
          <w:numId w:val="14"/>
        </w:numPr>
      </w:pPr>
      <w:r>
        <w:t>A végeredményt tekintve a bizonytalanság és a kocká</w:t>
      </w:r>
      <w:r>
        <w:t>zat csökken.</w:t>
      </w:r>
    </w:p>
    <w:p w:rsidR="00000000" w:rsidRDefault="00943F0E">
      <w:r>
        <w:t>A csapat áttekint minden érték-jelentést és megvizsgálja, hogyan lehet azt átalakítani a vállalat számára mérhető haszonná. Az IT-költségek felbecslésére számos eszköz áll a rendelkezésünkre. Ilyen például a MetaGroup PCM modellje vagy a Gartn</w:t>
      </w:r>
      <w:r>
        <w:t>erGroup TCO Analyst vagy a TCO M</w:t>
      </w:r>
      <w:r>
        <w:t>a</w:t>
      </w:r>
      <w:r>
        <w:t>nager eszközei. Az elemzésnek ezen lépése biztosítja a beruházási és a folyamatos működési pénz(ki)áramlások számbavételét a megoldás hasznos élettartama alatt. Ezen eszközöknek az is az előnye, hogy lehetővé teszik a válla</w:t>
      </w:r>
      <w:r>
        <w:t>lat költségeinek összevetését az adott iparágra jellemző értékekkel.</w:t>
      </w:r>
    </w:p>
    <w:p w:rsidR="00000000" w:rsidRDefault="00943F0E">
      <w:r>
        <w:t>Miután a csapat azonosította a költségeket és hasznokat, elkészít a projekt előzetes cash-flow-kimutatását, ami a befektetési elemzés alapját fogja képezni A fázis végén véglegesítik a te</w:t>
      </w:r>
      <w:r>
        <w:t xml:space="preserve">rvezett megoldás összehangoló táblázatát (az 1. lépésből), az érték-jelentéseket és a cash-flow-kimutatását. </w:t>
      </w:r>
    </w:p>
    <w:p w:rsidR="00000000" w:rsidRDefault="00943F0E">
      <w:pPr>
        <w:pStyle w:val="Cmsor3"/>
      </w:pPr>
      <w:bookmarkStart w:id="29" w:name="_Toc536839211"/>
      <w:r>
        <w:t>Negyedik lépés. A kockázatok azonosítása</w:t>
      </w:r>
      <w:bookmarkEnd w:id="29"/>
    </w:p>
    <w:p w:rsidR="00000000" w:rsidRDefault="00943F0E">
      <w:r>
        <w:t>A kockázatok kezelése az élet szerves része, mivel a projekt kezdetén nem tudhatunk mindent. Ebben a fázi</w:t>
      </w:r>
      <w:r>
        <w:t>sban a csapat azonosítja azokat a fontos területeket, melyek esetében bizonytala</w:t>
      </w:r>
      <w:r>
        <w:t>n</w:t>
      </w:r>
      <w:r>
        <w:t>sággal számolhatunk.</w:t>
      </w:r>
    </w:p>
    <w:p w:rsidR="00000000" w:rsidRDefault="00943F0E">
      <w:r>
        <w:t>A következő kockázati kategóriákat különíthetjük el.</w:t>
      </w:r>
    </w:p>
    <w:p w:rsidR="00000000" w:rsidRDefault="00943F0E">
      <w:pPr>
        <w:numPr>
          <w:ilvl w:val="0"/>
          <w:numId w:val="15"/>
        </w:numPr>
      </w:pPr>
      <w:r>
        <w:rPr>
          <w:b/>
        </w:rPr>
        <w:lastRenderedPageBreak/>
        <w:t xml:space="preserve">Az összehangolás (alignment) kockázata: </w:t>
      </w:r>
      <w:r>
        <w:t>Minél jobb az összhang, annál kisebb a ko</w:t>
      </w:r>
      <w:r>
        <w:t>c</w:t>
      </w:r>
      <w:r>
        <w:t>kázat. Azonban egye</w:t>
      </w:r>
      <w:r>
        <w:t>s fejlesztések esetében az összhangot nehéz mérni (pl. az infrastru</w:t>
      </w:r>
      <w:r>
        <w:t>k</w:t>
      </w:r>
      <w:r>
        <w:t>túra fejlesztésénél), viszont mégis szüksége, mivel e nélkül a jövőbeli összhang elképze</w:t>
      </w:r>
      <w:r>
        <w:t>l</w:t>
      </w:r>
      <w:r>
        <w:t>hetetlen.</w:t>
      </w:r>
    </w:p>
    <w:p w:rsidR="00000000" w:rsidRDefault="00943F0E">
      <w:pPr>
        <w:numPr>
          <w:ilvl w:val="0"/>
          <w:numId w:val="15"/>
        </w:numPr>
      </w:pPr>
      <w:r>
        <w:rPr>
          <w:b/>
        </w:rPr>
        <w:t xml:space="preserve">A megvalósítás kockázata: </w:t>
      </w:r>
      <w:r>
        <w:t>Annak a valószínűsége, hogy a megvalósítás költségei elté</w:t>
      </w:r>
      <w:r>
        <w:t>r</w:t>
      </w:r>
      <w:r>
        <w:t>nek a</w:t>
      </w:r>
      <w:r>
        <w:t xml:space="preserve"> tervezettől.</w:t>
      </w:r>
    </w:p>
    <w:p w:rsidR="00000000" w:rsidRDefault="00943F0E">
      <w:pPr>
        <w:numPr>
          <w:ilvl w:val="0"/>
          <w:numId w:val="15"/>
        </w:numPr>
      </w:pPr>
      <w:r>
        <w:rPr>
          <w:b/>
        </w:rPr>
        <w:t xml:space="preserve">Működési kockázat: </w:t>
      </w:r>
      <w:r>
        <w:t>Annak a valószínűsége, hogy az üzemeltetés költségei eltérnek a terveze</w:t>
      </w:r>
      <w:r>
        <w:t>t</w:t>
      </w:r>
      <w:r>
        <w:t>től.</w:t>
      </w:r>
    </w:p>
    <w:p w:rsidR="00000000" w:rsidRDefault="00943F0E">
      <w:pPr>
        <w:numPr>
          <w:ilvl w:val="0"/>
          <w:numId w:val="15"/>
        </w:numPr>
      </w:pPr>
      <w:r>
        <w:rPr>
          <w:b/>
        </w:rPr>
        <w:t xml:space="preserve">A megoldás kockázata: </w:t>
      </w:r>
      <w:r>
        <w:t>Minél többet tudunk a megoldásról és annak hatásáról, annál k</w:t>
      </w:r>
      <w:r>
        <w:t>i</w:t>
      </w:r>
      <w:r>
        <w:t>sebb a kockázat. Ugyanakkor az alacsony kockázatú projektek ne</w:t>
      </w:r>
      <w:r>
        <w:t>m minden esetben ho</w:t>
      </w:r>
      <w:r>
        <w:t>r</w:t>
      </w:r>
      <w:r>
        <w:t>dozzák magukban a magas haszon lehetőségét. A technológiával kapcsolatos kockázat</w:t>
      </w:r>
      <w:r>
        <w:t>o</w:t>
      </w:r>
      <w:r>
        <w:t>kat a megoldás kockázata részeként kezeljük.</w:t>
      </w:r>
    </w:p>
    <w:p w:rsidR="00000000" w:rsidRDefault="00943F0E">
      <w:pPr>
        <w:numPr>
          <w:ilvl w:val="0"/>
          <w:numId w:val="15"/>
        </w:numPr>
      </w:pPr>
      <w:r>
        <w:rPr>
          <w:b/>
        </w:rPr>
        <w:t>A haszon kockázata:</w:t>
      </w:r>
      <w:r>
        <w:t xml:space="preserve"> Annak a valószínűsége, hogy nem helyesen becsültük meg a várh</w:t>
      </w:r>
      <w:r>
        <w:t>a</w:t>
      </w:r>
      <w:r>
        <w:t>tó hasznokat, vagy előre ne</w:t>
      </w:r>
      <w:r>
        <w:t>m látott pénzügyi helyzet következik be. Pl. ha a vállalatnak nagyobb tőkeköltséget kell a tervezettnél fizetnie, vagy más terület igényel nagyobb f</w:t>
      </w:r>
      <w:r>
        <w:t>i</w:t>
      </w:r>
      <w:r>
        <w:t>gyelmet a menedzsment részéről, a tervezett bevételek nem teljesíthetők.</w:t>
      </w:r>
    </w:p>
    <w:p w:rsidR="00000000" w:rsidRDefault="00943F0E">
      <w:r>
        <w:t>A REJ kockázat-kezelő eljárását úg</w:t>
      </w:r>
      <w:r>
        <w:t>y alakították ki, hogy azokra a területekre összpontosítson, ahol a kockázat magasnak tűnik. A csapat kockázati tényező-táblázatot használ, hogy azonosítsa a potenciális kockázatokat. Ez minden kategóriát 1-5 pontokkal jellemez, emellett minden magas kocká</w:t>
      </w:r>
      <w:r>
        <w:t>zatú tényezőhöz a csapat kockázat-jelentést készít, és megbecsüli a valószínűségét és a megoldásra gyakorolt hatását.</w:t>
      </w:r>
    </w:p>
    <w:p w:rsidR="00000000" w:rsidRDefault="00943F0E">
      <w:r>
        <w:t>Miután felmérték a kockázatokat, el kell dönteni, hogy hogyan jelentsék őket: lehetséges módszer a cash-flow-kimutatás módosítása, illetve</w:t>
      </w:r>
      <w:r>
        <w:t xml:space="preserve"> a kockázati faktorok és becsült súlyuk táblázatban való bemutatása.</w:t>
      </w:r>
    </w:p>
    <w:p w:rsidR="00000000" w:rsidRDefault="00943F0E">
      <w:pPr>
        <w:pStyle w:val="Cmsor3"/>
      </w:pPr>
      <w:bookmarkStart w:id="30" w:name="_Toc536839212"/>
      <w:r>
        <w:t>Ötödik lépés: Pénzügyi mutatók képzése</w:t>
      </w:r>
      <w:bookmarkEnd w:id="30"/>
    </w:p>
    <w:p w:rsidR="00000000" w:rsidRDefault="00943F0E">
      <w:r>
        <w:t>A REJ záró fázisa a tanulmány összeállítása. A tanulmány minden olyan információt tartalma</w:t>
      </w:r>
      <w:r>
        <w:t>z</w:t>
      </w:r>
      <w:r>
        <w:t>zon, mely segíti a vezetést a befektetési döntés meghozat</w:t>
      </w:r>
      <w:r>
        <w:t>alában. Miután a végső mutatókat k</w:t>
      </w:r>
      <w:r>
        <w:t>i</w:t>
      </w:r>
      <w:r>
        <w:t>számították, a tanulmány két formában jelenik meg (bemutató, szöveges dokumentáció).</w:t>
      </w:r>
    </w:p>
    <w:p w:rsidR="00000000" w:rsidRDefault="00943F0E">
      <w:r>
        <w:t>A befektetés jövedelemtermelő-képességét, vagy megtérülését (ROI) a vállalkozás által használ</w:t>
      </w:r>
      <w:r>
        <w:t>a</w:t>
      </w:r>
      <w:r>
        <w:t>tos mutatókkal jellemezhetjük. Széleskörűe</w:t>
      </w:r>
      <w:r>
        <w:t>n elterjedt mutatók az NPV és az IRR, emellett sz</w:t>
      </w:r>
      <w:r>
        <w:t>á</w:t>
      </w:r>
      <w:r>
        <w:t>mos más mutatót is alkalmazhatunk (Economic Value Add – EVA, megtérülési idő, Earnings Per Share – EPS). Mielőtt elkészül az anyag, az alkalmazandó mutatókat egyeztetni kell a menedz</w:t>
      </w:r>
      <w:r>
        <w:t>s</w:t>
      </w:r>
      <w:r>
        <w:t xml:space="preserve">menttel. </w:t>
      </w:r>
    </w:p>
    <w:p w:rsidR="00000000" w:rsidRDefault="00943F0E">
      <w:r>
        <w:t>Mivel a kocká</w:t>
      </w:r>
      <w:r>
        <w:t>zatok csökkenthetik a jövedelmet és/vagy növelhetik a költségeket, az aktuális NPS és IRR-értékek ennek megfelelően alacsonyabbak lehetnek. Sok vállalat a kockázatokat úgy veszi számításba, hogy megemeli az IRR által elérendő küszöbértéket.</w:t>
      </w:r>
    </w:p>
    <w:p w:rsidR="00000000" w:rsidRDefault="00943F0E">
      <w:pPr>
        <w:pStyle w:val="Cmsor1"/>
      </w:pPr>
      <w:r>
        <w:br w:type="page"/>
      </w:r>
      <w:bookmarkStart w:id="31" w:name="_Toc536839213"/>
      <w:r>
        <w:lastRenderedPageBreak/>
        <w:t>Összefoglalás</w:t>
      </w:r>
      <w:bookmarkEnd w:id="31"/>
    </w:p>
    <w:p w:rsidR="00000000" w:rsidRDefault="00943F0E">
      <w:r>
        <w:t>A módszer ismeretében megállapíthatjuk, hogy mindezidáig nem sikerült megtalálni azt a mó</w:t>
      </w:r>
      <w:r>
        <w:t>d</w:t>
      </w:r>
      <w:r>
        <w:t xml:space="preserve">szert, ami a beruházási döntések meghozatalát „rutinszerűvé” tehetné. (Véleményem szerint nem is szükségszerű, hogy legyen ilyen módszer.) Láttuk, hogy a hagyományos </w:t>
      </w:r>
      <w:r>
        <w:t>pénzügyi mutatók – melyek az úm. szokványos beruházásoknál jellemzően jól használható eszközök voltak a dönté</w:t>
      </w:r>
      <w:r>
        <w:t>s</w:t>
      </w:r>
      <w:r>
        <w:t xml:space="preserve">hozók kezében – alkalmazásának számos korlátja van és a döntést kizárólag rájuk alapozni súlyos vétek volna. </w:t>
      </w:r>
    </w:p>
    <w:p w:rsidR="00000000" w:rsidRDefault="00943F0E">
      <w:r>
        <w:t>Aztán megismerkedtünk a TCO-modell a</w:t>
      </w:r>
      <w:r>
        <w:t>lapjaival és lehetőségeivel, mely már sokkal nagyobb rálátást biztosított a menedzsereknek arra a hatásra, melyet az IT gyakorol a szervezetre. Ezzel együtt az eljárás számos hibával küszködik: pl. nem értelmezhetők általa az IT okozta hasznok, számos, sok</w:t>
      </w:r>
      <w:r>
        <w:t xml:space="preserve"> tekintetben ellentmondó értelmezése van és nem a szervezet folyamatainak való megfelelőséget tükrözi. </w:t>
      </w:r>
    </w:p>
    <w:p w:rsidR="00000000" w:rsidRDefault="00943F0E">
      <w:r>
        <w:t>Végül bemutattam a Microsoft REJ keretrendszerét, mely úgy igyekszik számszerűsíteni az IT-beruházás hatásait, hogy a vállalat számára kritikus tényezők</w:t>
      </w:r>
      <w:r>
        <w:t>re gyakorolt hatását vizsgálja. Az üzleti siker kulcsait jelentő tényezők feltárása után megvizsgálják a leendő IT-megoldást, hogy megfelel-e a feladatnak, majd felbecsülik az általa eredményezett hasznokat és költségeket. Ezt követően számszerűsítik a koc</w:t>
      </w:r>
      <w:r>
        <w:t>kázatokat és végül a vállalat által használatos pénzügyi mutat</w:t>
      </w:r>
      <w:r>
        <w:t>ó</w:t>
      </w:r>
      <w:r>
        <w:t xml:space="preserve">számok rendszerében fejezik ki a potenciális megoldás értékét. </w:t>
      </w:r>
    </w:p>
    <w:p w:rsidR="00000000" w:rsidRDefault="00943F0E">
      <w:r>
        <w:t>Ez az elemzés kétségtelenül átfogó képet ad a szervezet és a potenciális IT-megoldás viszonyáról, ugyanakkor a megoldás sikere mi</w:t>
      </w:r>
      <w:r>
        <w:t>ndenképpen az elemzőcsapatban résztvevő szakemberek hozz</w:t>
      </w:r>
      <w:r>
        <w:t>á</w:t>
      </w:r>
      <w:r>
        <w:t>értésén nyugszik. A módszer (és az összes hasonló eljárás is) igazából csak azt a keretet biztosí</w:t>
      </w:r>
      <w:r>
        <w:t>t</w:t>
      </w:r>
      <w:r>
        <w:t xml:space="preserve">ja, amely mentén haladva vélhetőleg minden számításba jöhető tényezőt </w:t>
      </w:r>
      <w:r>
        <w:rPr>
          <w:i/>
        </w:rPr>
        <w:t xml:space="preserve">feltárhatnak </w:t>
      </w:r>
      <w:r>
        <w:t>a szake</w:t>
      </w:r>
      <w:r>
        <w:t>m</w:t>
      </w:r>
      <w:r>
        <w:t>berek, ame</w:t>
      </w:r>
      <w:r>
        <w:t>nnyiben ténylegesen elsajátították a módszer(ek)ben meglévő sajátos és újszerű go</w:t>
      </w:r>
      <w:r>
        <w:t>n</w:t>
      </w:r>
      <w:r>
        <w:t>dolkodásmódot, illetve valóban a szervezet szempontjából legjobb megoldást keresik és nem v</w:t>
      </w:r>
      <w:r>
        <w:t>a</w:t>
      </w:r>
      <w:r>
        <w:t>lamely külső érdeket (legyen az politikai vagy személyes kapcsolatok védelme, ille</w:t>
      </w:r>
      <w:r>
        <w:t>tve egyes fo</w:t>
      </w:r>
      <w:r>
        <w:t>r</w:t>
      </w:r>
      <w:r>
        <w:t>galmazóknak való megfelelni akarás) képviselnek.</w:t>
      </w:r>
    </w:p>
    <w:p w:rsidR="00000000" w:rsidRDefault="00943F0E"/>
    <w:p w:rsidR="00000000" w:rsidRDefault="00943F0E">
      <w:pPr>
        <w:pStyle w:val="Cmsor1"/>
      </w:pPr>
      <w:r>
        <w:br w:type="page"/>
      </w:r>
      <w:bookmarkStart w:id="32" w:name="_Toc536839214"/>
      <w:r>
        <w:lastRenderedPageBreak/>
        <w:t>Rövidítések jegyzéke</w:t>
      </w:r>
      <w:bookmarkEnd w:id="3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360"/>
        <w:gridCol w:w="3420"/>
        <w:gridCol w:w="41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BEIS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Business Enviromental/Economic Impact Statement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Az üzleti teljesítményre hatást gyakoroló környezeti és gazdasági tényezőket számszerűsítő eljárás(család)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CSF 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C</w:t>
            </w:r>
            <w:r>
              <w:t>ritical Success Factor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Kulcstényező az üzleti sikerhez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CBA 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Cost-Benefit Analysis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Költség-haszon elemzés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DMI 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Desktop Management Interface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Munkaállomások hálózati menedzsmen</w:t>
            </w:r>
            <w:r>
              <w:t>t</w:t>
            </w:r>
            <w:r>
              <w:t>jét biztosító felület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EDI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Electronic Data Interchange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Elektronikus adatcs</w:t>
            </w:r>
            <w:r>
              <w:t>ere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Earnings Per Share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Egy részvényre jutó nyereség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Economic Value Add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Gazdasági hozzáadott érték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IRR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Internal Rate of Return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Belső megtérülési ráta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Information Services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Információs szolgáltatás (vagy szolgált</w:t>
            </w:r>
            <w:r>
              <w:t>a</w:t>
            </w:r>
            <w:r>
              <w:t>tó részleg)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Infor</w:t>
            </w:r>
            <w:r>
              <w:t>mation Technologies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Információs technológiák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KPI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Key Performance Indicator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Kulcstényező a teljesítménym</w:t>
            </w:r>
            <w:r>
              <w:t>é</w:t>
            </w:r>
            <w:r>
              <w:t xml:space="preserve">réshez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MSF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Microsoft Solution Framework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NPV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Net Present Value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Nettó jelenérték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REJ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Rapid Economic Justification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Az IT üzleti értékének meg</w:t>
            </w:r>
            <w:r>
              <w:t>határozására szolgáló átfogó módszer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ROI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Return on Investment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Beruházások megtérülése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000000" w:rsidRDefault="00943F0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TCO</w:t>
            </w:r>
          </w:p>
        </w:tc>
        <w:tc>
          <w:tcPr>
            <w:tcW w:w="360" w:type="dxa"/>
          </w:tcPr>
          <w:p w:rsidR="00000000" w:rsidRDefault="00943F0E">
            <w:pPr>
              <w:spacing w:before="60" w:after="60"/>
              <w:jc w:val="center"/>
            </w:pPr>
            <w:r>
              <w:t>–</w:t>
            </w:r>
          </w:p>
        </w:tc>
        <w:tc>
          <w:tcPr>
            <w:tcW w:w="3420" w:type="dxa"/>
          </w:tcPr>
          <w:p w:rsidR="00000000" w:rsidRDefault="00943F0E">
            <w:pPr>
              <w:spacing w:before="60" w:after="60"/>
              <w:jc w:val="left"/>
            </w:pPr>
            <w:r>
              <w:t>Total Cost of Ownership</w:t>
            </w:r>
          </w:p>
        </w:tc>
        <w:tc>
          <w:tcPr>
            <w:tcW w:w="4140" w:type="dxa"/>
          </w:tcPr>
          <w:p w:rsidR="00000000" w:rsidRDefault="00943F0E">
            <w:pPr>
              <w:spacing w:before="60" w:after="60"/>
              <w:jc w:val="left"/>
            </w:pPr>
            <w:r>
              <w:t>Életciklus alatti összes költség</w:t>
            </w:r>
          </w:p>
        </w:tc>
      </w:tr>
    </w:tbl>
    <w:p w:rsidR="00000000" w:rsidRDefault="00943F0E"/>
    <w:p w:rsidR="00000000" w:rsidRDefault="00943F0E">
      <w:pPr>
        <w:pStyle w:val="Cmsor1"/>
      </w:pPr>
      <w:r>
        <w:br w:type="page"/>
      </w:r>
      <w:bookmarkStart w:id="33" w:name="_Toc536839215"/>
      <w:r>
        <w:lastRenderedPageBreak/>
        <w:t>Felhasznált irodalom</w:t>
      </w:r>
      <w:bookmarkEnd w:id="33"/>
    </w:p>
    <w:p w:rsidR="00000000" w:rsidRDefault="00943F0E">
      <w:pPr>
        <w:jc w:val="left"/>
      </w:pPr>
      <w:r>
        <w:rPr>
          <w:b/>
        </w:rPr>
        <w:t>[1]</w:t>
      </w:r>
      <w:r>
        <w:t xml:space="preserve"> </w:t>
      </w:r>
      <w:r>
        <w:rPr>
          <w:smallCaps/>
        </w:rPr>
        <w:t>Dobay Péter:</w:t>
      </w:r>
      <w:r>
        <w:t xml:space="preserve"> </w:t>
      </w:r>
      <w:r>
        <w:rPr>
          <w:i/>
        </w:rPr>
        <w:t xml:space="preserve">Vállalati információmenedzsment; </w:t>
      </w:r>
      <w:r>
        <w:t>Nemzeti Tankönyvkiadó, Budape</w:t>
      </w:r>
      <w:r>
        <w:t>st, 1997.</w:t>
      </w:r>
    </w:p>
    <w:p w:rsidR="00000000" w:rsidRDefault="00943F0E">
      <w:pPr>
        <w:jc w:val="left"/>
      </w:pPr>
      <w:r>
        <w:rPr>
          <w:b/>
        </w:rPr>
        <w:t xml:space="preserve">[2] </w:t>
      </w:r>
      <w:r>
        <w:rPr>
          <w:smallCaps/>
        </w:rPr>
        <w:t>Kelenhegyi Péter:</w:t>
      </w:r>
      <w:r>
        <w:t xml:space="preserve"> </w:t>
      </w:r>
      <w:r>
        <w:rPr>
          <w:i/>
        </w:rPr>
        <w:t>A BTK ismeretlen paragrafusai, avagy mibe kerül egy számítógép</w:t>
      </w:r>
      <w:r>
        <w:rPr>
          <w:b/>
          <w:i/>
        </w:rPr>
        <w:t xml:space="preserve">; </w:t>
      </w:r>
      <w:r>
        <w:t xml:space="preserve">DECUS Magyarország Konferencia, 1999.; </w:t>
      </w:r>
      <w:r>
        <w:br/>
        <w:t xml:space="preserve">Internet: </w:t>
      </w:r>
      <w:r>
        <w:rPr>
          <w:rStyle w:val="Hiperhivatkozs"/>
        </w:rPr>
        <w:t>http://www.byte.hu/html/tudastar/decus.pdf</w:t>
      </w:r>
    </w:p>
    <w:p w:rsidR="00000000" w:rsidRDefault="00943F0E">
      <w:pPr>
        <w:jc w:val="left"/>
      </w:pPr>
      <w:r>
        <w:rPr>
          <w:b/>
          <w:smallCaps/>
        </w:rPr>
        <w:t>[3]</w:t>
      </w:r>
      <w:r>
        <w:rPr>
          <w:smallCaps/>
        </w:rPr>
        <w:t xml:space="preserve"> Klug Annamária (szerk): </w:t>
      </w:r>
      <w:r>
        <w:rPr>
          <w:i/>
        </w:rPr>
        <w:t>Információ-management a vállalatvezetés</w:t>
      </w:r>
      <w:r>
        <w:rPr>
          <w:i/>
        </w:rPr>
        <w:t xml:space="preserve"> szolgálatában;</w:t>
      </w:r>
      <w:r>
        <w:t xml:space="preserve"> Orsz</w:t>
      </w:r>
      <w:r>
        <w:t>á</w:t>
      </w:r>
      <w:r>
        <w:t>gos Műszaki Információs Központ és Könyvtár, Budapest, 1987.</w:t>
      </w:r>
    </w:p>
    <w:p w:rsidR="00000000" w:rsidRDefault="00943F0E">
      <w:pPr>
        <w:jc w:val="left"/>
        <w:rPr>
          <w:rStyle w:val="Hiperhivatkozs"/>
        </w:rPr>
      </w:pPr>
      <w:r>
        <w:rPr>
          <w:b/>
        </w:rPr>
        <w:t xml:space="preserve">[4] </w:t>
      </w:r>
      <w:r>
        <w:rPr>
          <w:i/>
        </w:rPr>
        <w:t xml:space="preserve">Microsoft REJ Framework: Step by Step; </w:t>
      </w:r>
      <w:r>
        <w:t>Microsoft Corporation, 2000.</w:t>
      </w:r>
      <w:r>
        <w:br/>
        <w:t xml:space="preserve">Internet: </w:t>
      </w:r>
      <w:r>
        <w:rPr>
          <w:rStyle w:val="Hiperhivatkozs"/>
        </w:rPr>
        <w:t>http://www.microsoft.com/business/downloads/value/REJstepbystep.doc</w:t>
      </w:r>
    </w:p>
    <w:p w:rsidR="00000000" w:rsidRDefault="00943F0E">
      <w:pPr>
        <w:jc w:val="left"/>
        <w:rPr>
          <w:rStyle w:val="Hiperhivatkozs"/>
        </w:rPr>
      </w:pPr>
      <w:r>
        <w:rPr>
          <w:b/>
        </w:rPr>
        <w:t>[5]</w:t>
      </w:r>
      <w:r>
        <w:t xml:space="preserve"> </w:t>
      </w:r>
      <w:r>
        <w:rPr>
          <w:smallCaps/>
        </w:rPr>
        <w:t>Seitz, Brian K.:</w:t>
      </w:r>
      <w:r>
        <w:t xml:space="preserve"> </w:t>
      </w:r>
      <w:r>
        <w:rPr>
          <w:i/>
        </w:rPr>
        <w:t>Wha</w:t>
      </w:r>
      <w:r>
        <w:rPr>
          <w:i/>
        </w:rPr>
        <w:t>t is REJ?;</w:t>
      </w:r>
      <w:r>
        <w:t xml:space="preserve"> Intellectual Arbitrage, 1999.</w:t>
      </w:r>
      <w:r>
        <w:br/>
        <w:t xml:space="preserve">Internet: </w:t>
      </w:r>
      <w:r>
        <w:rPr>
          <w:rStyle w:val="Hiperhivatkozs"/>
        </w:rPr>
        <w:t>http://home.earthlink.net/~briankseitz/rej_positioning.htm</w:t>
      </w:r>
    </w:p>
    <w:p w:rsidR="00000000" w:rsidRDefault="00943F0E">
      <w:pPr>
        <w:jc w:val="left"/>
      </w:pPr>
      <w:r>
        <w:rPr>
          <w:b/>
        </w:rPr>
        <w:t>[6]</w:t>
      </w:r>
      <w:r>
        <w:t xml:space="preserve"> </w:t>
      </w:r>
      <w:r>
        <w:rPr>
          <w:smallCaps/>
        </w:rPr>
        <w:t>Szabó Zoltán:</w:t>
      </w:r>
      <w:r>
        <w:t xml:space="preserve"> </w:t>
      </w:r>
      <w:r>
        <w:rPr>
          <w:i/>
        </w:rPr>
        <w:t>Infrastruktúra-menedzsment;</w:t>
      </w:r>
      <w:r>
        <w:t xml:space="preserve"> in: </w:t>
      </w:r>
      <w:r>
        <w:rPr>
          <w:smallCaps/>
        </w:rPr>
        <w:t xml:space="preserve">Dr. Gábor András (szerk.): </w:t>
      </w:r>
      <w:r>
        <w:rPr>
          <w:i/>
        </w:rPr>
        <w:t>Informáci</w:t>
      </w:r>
      <w:r>
        <w:rPr>
          <w:i/>
        </w:rPr>
        <w:t>ó</w:t>
      </w:r>
      <w:r>
        <w:rPr>
          <w:i/>
        </w:rPr>
        <w:t>menedzsment;</w:t>
      </w:r>
      <w:r>
        <w:t xml:space="preserve"> Aula Kiadó, Budapest, 1997.</w:t>
      </w:r>
    </w:p>
    <w:p w:rsidR="00000000" w:rsidRDefault="00943F0E">
      <w:pPr>
        <w:autoSpaceDE w:val="0"/>
        <w:autoSpaceDN w:val="0"/>
        <w:adjustRightInd w:val="0"/>
        <w:jc w:val="left"/>
      </w:pPr>
      <w:r>
        <w:rPr>
          <w:b/>
        </w:rPr>
        <w:t xml:space="preserve">[7] </w:t>
      </w:r>
      <w:r>
        <w:rPr>
          <w:i/>
        </w:rPr>
        <w:t>TCO Distribute</w:t>
      </w:r>
      <w:r>
        <w:rPr>
          <w:i/>
        </w:rPr>
        <w:t xml:space="preserve">d Computing Assessment: Best Practices; </w:t>
      </w:r>
      <w:r>
        <w:t>Gartner Group Inc., 1999.</w:t>
      </w:r>
      <w:r>
        <w:br/>
        <w:t xml:space="preserve">Internet: </w:t>
      </w:r>
      <w:r>
        <w:rPr>
          <w:rStyle w:val="Hiperhivatkozs"/>
        </w:rPr>
        <w:t>http://www4.gartner.com/4_decision_tools/modeling_tools/bestprac.pdf</w:t>
      </w:r>
    </w:p>
    <w:p w:rsidR="00000000" w:rsidRDefault="00943F0E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[8]</w:t>
      </w:r>
      <w:r>
        <w:t xml:space="preserve"> </w:t>
      </w:r>
      <w:r>
        <w:rPr>
          <w:i/>
        </w:rPr>
        <w:t>TCO Manager for Distributed Computing: Chart of Accounts;</w:t>
      </w:r>
      <w:r>
        <w:t xml:space="preserve"> Gartner Group Inc., 1999.</w:t>
      </w:r>
      <w:r>
        <w:br/>
        <w:t xml:space="preserve">Internet: </w:t>
      </w:r>
      <w:r>
        <w:rPr>
          <w:rStyle w:val="Hiperhivatkozs"/>
        </w:rPr>
        <w:t>http://www4.g</w:t>
      </w:r>
      <w:r>
        <w:rPr>
          <w:rStyle w:val="Hiperhivatkozs"/>
        </w:rPr>
        <w:t>artner.com/4_decision_tools/modeling_tools/costcat.pdf</w:t>
      </w:r>
    </w:p>
    <w:p w:rsidR="00000000" w:rsidRDefault="00943F0E">
      <w:pPr>
        <w:jc w:val="left"/>
      </w:pPr>
      <w:r>
        <w:rPr>
          <w:b/>
        </w:rPr>
        <w:t xml:space="preserve">[9] </w:t>
      </w:r>
      <w:r>
        <w:rPr>
          <w:i/>
        </w:rPr>
        <w:t>TCO models and approaches;</w:t>
      </w:r>
      <w:r>
        <w:t xml:space="preserve"> Compaq Corporation, Internet: </w:t>
      </w:r>
      <w:r>
        <w:rPr>
          <w:rStyle w:val="Hiperhivatkozs"/>
        </w:rPr>
        <w:t>http://www.compaq.com/tco/models.html</w:t>
      </w:r>
    </w:p>
    <w:p w:rsidR="00000000" w:rsidRDefault="00943F0E">
      <w:pPr>
        <w:jc w:val="left"/>
      </w:pPr>
      <w:r>
        <w:rPr>
          <w:b/>
        </w:rPr>
        <w:t>[10]</w:t>
      </w:r>
      <w:r>
        <w:t xml:space="preserve"> </w:t>
      </w:r>
      <w:r>
        <w:rPr>
          <w:i/>
        </w:rPr>
        <w:t xml:space="preserve">Total Cost of Ownership (TCO) for distributed computing enviroments; </w:t>
      </w:r>
      <w:r>
        <w:t>Commonwealth of Virginia, 20</w:t>
      </w:r>
      <w:r>
        <w:t>01.</w:t>
      </w:r>
      <w:r>
        <w:br/>
        <w:t xml:space="preserve">Internet: </w:t>
      </w:r>
      <w:r>
        <w:rPr>
          <w:rStyle w:val="Hiperhivatkozs"/>
        </w:rPr>
        <w:t>http://www.seatmanagement.state.va.us/documents/TCOGuidance.html</w:t>
      </w:r>
    </w:p>
    <w:p w:rsidR="00000000" w:rsidRDefault="00943F0E">
      <w:pPr>
        <w:jc w:val="left"/>
        <w:rPr>
          <w:rStyle w:val="Hiperhivatkozs"/>
        </w:rPr>
      </w:pPr>
      <w:r>
        <w:rPr>
          <w:b/>
        </w:rPr>
        <w:t xml:space="preserve">[11] </w:t>
      </w:r>
      <w:r>
        <w:rPr>
          <w:smallCaps/>
        </w:rPr>
        <w:t>Véry Zoltán:</w:t>
      </w:r>
      <w:r>
        <w:t xml:space="preserve"> </w:t>
      </w:r>
      <w:r>
        <w:rPr>
          <w:i/>
        </w:rPr>
        <w:t xml:space="preserve">Az informatikai controlling (IT-Control); </w:t>
      </w:r>
      <w:r>
        <w:rPr>
          <w:iCs/>
        </w:rPr>
        <w:t xml:space="preserve">in: </w:t>
      </w:r>
      <w:r>
        <w:rPr>
          <w:i/>
          <w:iCs/>
        </w:rPr>
        <w:t xml:space="preserve">Gyakorlati controlling; </w:t>
      </w:r>
      <w:r>
        <w:t>Raabe Kiadó, Budapest, 2001.</w:t>
      </w:r>
      <w:r>
        <w:br/>
      </w:r>
      <w:r>
        <w:rPr>
          <w:rStyle w:val="Hiperhivatkozs"/>
        </w:rPr>
        <w:t xml:space="preserve"> </w:t>
      </w:r>
    </w:p>
    <w:p w:rsidR="00943F0E" w:rsidRDefault="00943F0E">
      <w:pPr>
        <w:jc w:val="left"/>
        <w:rPr>
          <w:b/>
        </w:rPr>
      </w:pPr>
    </w:p>
    <w:sectPr w:rsidR="00943F0E">
      <w:footerReference w:type="default" r:id="rId7"/>
      <w:footerReference w:type="first" r:id="rId8"/>
      <w:pgSz w:w="12240" w:h="15840" w:code="1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0E" w:rsidRDefault="00943F0E">
      <w:pPr>
        <w:spacing w:after="0"/>
      </w:pPr>
      <w:r>
        <w:separator/>
      </w:r>
    </w:p>
  </w:endnote>
  <w:endnote w:type="continuationSeparator" w:id="0">
    <w:p w:rsidR="00943F0E" w:rsidRDefault="00943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F0E">
    <w:pPr>
      <w:pStyle w:val="llb"/>
      <w:jc w:val="center"/>
    </w:pPr>
    <w:r>
      <w:rPr>
        <w:rStyle w:val="Oldalszm"/>
      </w:rPr>
      <w:t xml:space="preserve"> </w:t>
    </w:r>
    <w:r>
      <w:rPr>
        <w:rStyle w:val="Oldalszm"/>
      </w:rPr>
      <w:sym w:font="Wingdings" w:char="F077"/>
    </w:r>
    <w:r>
      <w:rPr>
        <w:rStyle w:val="Oldalszm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F252E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</w:t>
    </w:r>
    <w:r>
      <w:rPr>
        <w:rStyle w:val="Oldalszm"/>
      </w:rPr>
      <w:sym w:font="Wingdings" w:char="F077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F0E">
    <w:pPr>
      <w:pStyle w:val="llb"/>
      <w:jc w:val="center"/>
    </w:pPr>
    <w:r>
      <w:t>Készítette:</w:t>
    </w:r>
  </w:p>
  <w:p w:rsidR="00000000" w:rsidRDefault="00943F0E">
    <w:pPr>
      <w:pStyle w:val="llb"/>
      <w:jc w:val="center"/>
    </w:pPr>
    <w:r>
      <w:rPr>
        <w:smallCaps/>
      </w:rPr>
      <w:t>Pető István</w:t>
    </w:r>
    <w:r>
      <w:rPr>
        <w:smallCaps/>
      </w:rPr>
      <w:br/>
    </w:r>
    <w:r>
      <w:t>nappalos PhD-hallgató</w:t>
    </w:r>
  </w:p>
  <w:p w:rsidR="00000000" w:rsidRDefault="00943F0E">
    <w:pPr>
      <w:pStyle w:val="llb"/>
      <w:spacing w:after="600"/>
      <w:jc w:val="center"/>
    </w:pPr>
    <w:r>
      <w:t>I. évfolyam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0E" w:rsidRDefault="00943F0E">
      <w:pPr>
        <w:spacing w:after="0"/>
      </w:pPr>
      <w:r>
        <w:separator/>
      </w:r>
    </w:p>
  </w:footnote>
  <w:footnote w:type="continuationSeparator" w:id="0">
    <w:p w:rsidR="00943F0E" w:rsidRDefault="00943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C2380"/>
    <w:lvl w:ilvl="0">
      <w:numFmt w:val="decimal"/>
      <w:lvlText w:val="*"/>
      <w:lvlJc w:val="left"/>
    </w:lvl>
  </w:abstractNum>
  <w:abstractNum w:abstractNumId="1">
    <w:nsid w:val="04F56DA0"/>
    <w:multiLevelType w:val="multilevel"/>
    <w:tmpl w:val="4BE28D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86A90"/>
    <w:multiLevelType w:val="multilevel"/>
    <w:tmpl w:val="4BE28D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A70E26"/>
    <w:multiLevelType w:val="hybridMultilevel"/>
    <w:tmpl w:val="0B18F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20A09"/>
    <w:multiLevelType w:val="hybridMultilevel"/>
    <w:tmpl w:val="48BC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D5D19"/>
    <w:multiLevelType w:val="hybridMultilevel"/>
    <w:tmpl w:val="D3AAC66E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13DA4C80"/>
    <w:multiLevelType w:val="hybridMultilevel"/>
    <w:tmpl w:val="40EAA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7732D"/>
    <w:multiLevelType w:val="hybridMultilevel"/>
    <w:tmpl w:val="B0788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D4706"/>
    <w:multiLevelType w:val="hybridMultilevel"/>
    <w:tmpl w:val="E73EE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E624A"/>
    <w:multiLevelType w:val="hybridMultilevel"/>
    <w:tmpl w:val="050AB8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A4436"/>
    <w:multiLevelType w:val="hybridMultilevel"/>
    <w:tmpl w:val="0AA4B6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90559"/>
    <w:multiLevelType w:val="hybridMultilevel"/>
    <w:tmpl w:val="8E524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953A3"/>
    <w:multiLevelType w:val="hybridMultilevel"/>
    <w:tmpl w:val="A6A0BB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B4D91"/>
    <w:multiLevelType w:val="hybridMultilevel"/>
    <w:tmpl w:val="F932BA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9306EC"/>
    <w:multiLevelType w:val="hybridMultilevel"/>
    <w:tmpl w:val="704EF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5E4B71"/>
    <w:multiLevelType w:val="hybridMultilevel"/>
    <w:tmpl w:val="FEF6CB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749F8"/>
    <w:multiLevelType w:val="multilevel"/>
    <w:tmpl w:val="61AA189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9735591"/>
    <w:multiLevelType w:val="hybridMultilevel"/>
    <w:tmpl w:val="DEACF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D2192"/>
    <w:multiLevelType w:val="hybridMultilevel"/>
    <w:tmpl w:val="154C70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0210E"/>
    <w:multiLevelType w:val="hybridMultilevel"/>
    <w:tmpl w:val="7804A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5674F"/>
    <w:multiLevelType w:val="hybridMultilevel"/>
    <w:tmpl w:val="FA9A93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D316D6"/>
    <w:multiLevelType w:val="multilevel"/>
    <w:tmpl w:val="4BE28D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990022"/>
    <w:multiLevelType w:val="hybridMultilevel"/>
    <w:tmpl w:val="B0F2A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2743F7"/>
    <w:multiLevelType w:val="hybridMultilevel"/>
    <w:tmpl w:val="4C3E7F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AE0668"/>
    <w:multiLevelType w:val="multilevel"/>
    <w:tmpl w:val="4BE28D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506629"/>
    <w:multiLevelType w:val="hybridMultilevel"/>
    <w:tmpl w:val="1F5C8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C04512"/>
    <w:multiLevelType w:val="multilevel"/>
    <w:tmpl w:val="4A3C7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BB81212"/>
    <w:multiLevelType w:val="multilevel"/>
    <w:tmpl w:val="31088E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C010302"/>
    <w:multiLevelType w:val="hybridMultilevel"/>
    <w:tmpl w:val="46F6A6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057C4"/>
    <w:multiLevelType w:val="hybridMultilevel"/>
    <w:tmpl w:val="64EC3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796580"/>
    <w:multiLevelType w:val="hybridMultilevel"/>
    <w:tmpl w:val="40988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C03A2"/>
    <w:multiLevelType w:val="hybridMultilevel"/>
    <w:tmpl w:val="FDEA9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81423"/>
    <w:multiLevelType w:val="hybridMultilevel"/>
    <w:tmpl w:val="57F0EA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935A1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9B6A1C"/>
    <w:multiLevelType w:val="multilevel"/>
    <w:tmpl w:val="0E5AEEEC"/>
    <w:lvl w:ilvl="0">
      <w:start w:val="1"/>
      <w:numFmt w:val="none"/>
      <w:lvlText w:val=""/>
      <w:legacy w:legacy="1" w:legacySpace="0" w:legacyIndent="708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none"/>
      <w:lvlText w:val=""/>
      <w:legacy w:legacy="1" w:legacySpace="0" w:legacyIndent="708"/>
      <w:lvlJc w:val="left"/>
      <w:pPr>
        <w:ind w:left="1416" w:hanging="708"/>
      </w:pPr>
      <w:rPr>
        <w:rFonts w:ascii="Wingdings" w:hAnsi="Wingdings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5">
    <w:nsid w:val="6612030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2479D3"/>
    <w:multiLevelType w:val="hybridMultilevel"/>
    <w:tmpl w:val="AC4210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E3E48"/>
    <w:multiLevelType w:val="hybridMultilevel"/>
    <w:tmpl w:val="2426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806E2C"/>
    <w:multiLevelType w:val="hybridMultilevel"/>
    <w:tmpl w:val="D228E8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C24DE"/>
    <w:multiLevelType w:val="hybridMultilevel"/>
    <w:tmpl w:val="29868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F474C6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D74684"/>
    <w:multiLevelType w:val="hybridMultilevel"/>
    <w:tmpl w:val="F34AF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A42BF5"/>
    <w:multiLevelType w:val="hybridMultilevel"/>
    <w:tmpl w:val="086EC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29"/>
  </w:num>
  <w:num w:numId="5">
    <w:abstractNumId w:val="8"/>
  </w:num>
  <w:num w:numId="6">
    <w:abstractNumId w:val="14"/>
  </w:num>
  <w:num w:numId="7">
    <w:abstractNumId w:val="18"/>
  </w:num>
  <w:num w:numId="8">
    <w:abstractNumId w:val="41"/>
  </w:num>
  <w:num w:numId="9">
    <w:abstractNumId w:val="38"/>
  </w:num>
  <w:num w:numId="10">
    <w:abstractNumId w:val="9"/>
  </w:num>
  <w:num w:numId="11">
    <w:abstractNumId w:val="17"/>
  </w:num>
  <w:num w:numId="12">
    <w:abstractNumId w:val="39"/>
  </w:num>
  <w:num w:numId="13">
    <w:abstractNumId w:val="22"/>
  </w:num>
  <w:num w:numId="14">
    <w:abstractNumId w:val="10"/>
  </w:num>
  <w:num w:numId="15">
    <w:abstractNumId w:val="11"/>
  </w:num>
  <w:num w:numId="16">
    <w:abstractNumId w:val="4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9"/>
  </w:num>
  <w:num w:numId="22">
    <w:abstractNumId w:val="26"/>
  </w:num>
  <w:num w:numId="23">
    <w:abstractNumId w:val="34"/>
  </w:num>
  <w:num w:numId="24">
    <w:abstractNumId w:val="24"/>
  </w:num>
  <w:num w:numId="25">
    <w:abstractNumId w:val="2"/>
  </w:num>
  <w:num w:numId="26">
    <w:abstractNumId w:val="1"/>
  </w:num>
  <w:num w:numId="27">
    <w:abstractNumId w:val="13"/>
  </w:num>
  <w:num w:numId="28">
    <w:abstractNumId w:val="21"/>
  </w:num>
  <w:num w:numId="29">
    <w:abstractNumId w:val="23"/>
  </w:num>
  <w:num w:numId="30">
    <w:abstractNumId w:val="28"/>
  </w:num>
  <w:num w:numId="31">
    <w:abstractNumId w:val="25"/>
  </w:num>
  <w:num w:numId="32">
    <w:abstractNumId w:val="12"/>
  </w:num>
  <w:num w:numId="33">
    <w:abstractNumId w:val="15"/>
  </w:num>
  <w:num w:numId="34">
    <w:abstractNumId w:val="35"/>
  </w:num>
  <w:num w:numId="35">
    <w:abstractNumId w:val="36"/>
  </w:num>
  <w:num w:numId="36">
    <w:abstractNumId w:val="31"/>
  </w:num>
  <w:num w:numId="37">
    <w:abstractNumId w:val="4"/>
  </w:num>
  <w:num w:numId="38">
    <w:abstractNumId w:val="7"/>
  </w:num>
  <w:num w:numId="39">
    <w:abstractNumId w:val="33"/>
  </w:num>
  <w:num w:numId="40">
    <w:abstractNumId w:val="27"/>
  </w:num>
  <w:num w:numId="41">
    <w:abstractNumId w:val="5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66"/>
    <w:rsid w:val="00586D66"/>
    <w:rsid w:val="00943F0E"/>
    <w:rsid w:val="00AB73DA"/>
    <w:rsid w:val="00B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2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42"/>
      </w:numPr>
      <w:spacing w:before="360" w:after="240"/>
      <w:outlineLvl w:val="0"/>
    </w:pPr>
    <w:rPr>
      <w:rFonts w:ascii="Arial" w:hAnsi="Arial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42"/>
      </w:numPr>
      <w:spacing w:before="240"/>
      <w:outlineLvl w:val="1"/>
    </w:pPr>
    <w:rPr>
      <w:rFonts w:ascii="Arial" w:hAnsi="Arial"/>
      <w:bCs/>
      <w:i/>
      <w:i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42"/>
      </w:numPr>
      <w:spacing w:before="120"/>
      <w:outlineLvl w:val="2"/>
    </w:pPr>
    <w:rPr>
      <w:rFonts w:ascii="Arial" w:hAnsi="Arial" w:cs="Arial"/>
      <w:b/>
      <w:bCs/>
      <w:smallCaps/>
      <w:sz w:val="22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2"/>
      </w:numPr>
      <w:spacing w:before="120"/>
      <w:outlineLvl w:val="3"/>
    </w:pPr>
    <w:rPr>
      <w:rFonts w:ascii="Arial" w:hAnsi="Arial"/>
      <w:bCs/>
      <w:i/>
      <w:smallCaps/>
      <w:sz w:val="22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42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2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i/>
      <w:iCs/>
    </w:rPr>
  </w:style>
  <w:style w:type="paragraph" w:styleId="Szvegtrzs2">
    <w:name w:val="Body Text 2"/>
    <w:basedOn w:val="Norml"/>
    <w:semiHidden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Szvegtrzs3">
    <w:name w:val="Body Text 3"/>
    <w:basedOn w:val="Norml"/>
    <w:semiHidden/>
    <w:pPr>
      <w:spacing w:before="3000" w:after="600"/>
      <w:jc w:val="center"/>
    </w:pPr>
    <w:rPr>
      <w:b/>
      <w:bCs/>
      <w:smallCaps/>
      <w:sz w:val="52"/>
    </w:rPr>
  </w:style>
  <w:style w:type="paragraph" w:styleId="Szvegtrzsbehzssal">
    <w:name w:val="Body Text Indent"/>
    <w:basedOn w:val="Norml"/>
    <w:semiHidden/>
    <w:pPr>
      <w:ind w:left="720"/>
    </w:pPr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character" w:styleId="Hiperhivatkozs">
    <w:name w:val="Hyperlink"/>
    <w:basedOn w:val="Bekezdsalapbettpusa"/>
    <w:semiHidden/>
    <w:rPr>
      <w:rFonts w:ascii="Arial" w:hAnsi="Arial"/>
      <w:color w:val="0000FF"/>
      <w:sz w:val="20"/>
      <w:u w:val="single"/>
    </w:r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semiHidden/>
  </w:style>
  <w:style w:type="paragraph" w:styleId="Kpalrs">
    <w:name w:val="caption"/>
    <w:basedOn w:val="Norml"/>
    <w:next w:val="Norml"/>
    <w:qFormat/>
    <w:pPr>
      <w:spacing w:before="60"/>
    </w:pPr>
    <w:rPr>
      <w:i/>
      <w:sz w:val="20"/>
    </w:rPr>
  </w:style>
  <w:style w:type="paragraph" w:styleId="TJ1">
    <w:name w:val="toc 1"/>
    <w:basedOn w:val="Norml"/>
    <w:next w:val="Norml"/>
    <w:autoRedefine/>
    <w:semiHidden/>
    <w:pPr>
      <w:spacing w:before="120"/>
      <w:jc w:val="left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pPr>
      <w:spacing w:after="0"/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autoRedefine/>
    <w:semiHidden/>
    <w:pPr>
      <w:spacing w:after="0"/>
      <w:ind w:left="480"/>
      <w:jc w:val="left"/>
    </w:pPr>
    <w:rPr>
      <w:i/>
      <w:sz w:val="20"/>
    </w:rPr>
  </w:style>
  <w:style w:type="paragraph" w:styleId="TJ4">
    <w:name w:val="toc 4"/>
    <w:basedOn w:val="Norml"/>
    <w:next w:val="Norml"/>
    <w:autoRedefine/>
    <w:semiHidden/>
    <w:pPr>
      <w:spacing w:after="0"/>
      <w:ind w:left="720"/>
      <w:jc w:val="left"/>
    </w:pPr>
    <w:rPr>
      <w:sz w:val="18"/>
    </w:rPr>
  </w:style>
  <w:style w:type="paragraph" w:styleId="TJ5">
    <w:name w:val="toc 5"/>
    <w:basedOn w:val="Norml"/>
    <w:next w:val="Norml"/>
    <w:autoRedefine/>
    <w:semiHidden/>
    <w:pPr>
      <w:spacing w:after="0"/>
      <w:ind w:left="960"/>
      <w:jc w:val="left"/>
    </w:pPr>
    <w:rPr>
      <w:sz w:val="18"/>
    </w:rPr>
  </w:style>
  <w:style w:type="paragraph" w:styleId="TJ6">
    <w:name w:val="toc 6"/>
    <w:basedOn w:val="Norml"/>
    <w:next w:val="Norml"/>
    <w:autoRedefine/>
    <w:semiHidden/>
    <w:pPr>
      <w:spacing w:after="0"/>
      <w:ind w:left="1200"/>
      <w:jc w:val="left"/>
    </w:pPr>
    <w:rPr>
      <w:sz w:val="18"/>
    </w:rPr>
  </w:style>
  <w:style w:type="paragraph" w:styleId="TJ7">
    <w:name w:val="toc 7"/>
    <w:basedOn w:val="Norml"/>
    <w:next w:val="Norml"/>
    <w:autoRedefine/>
    <w:semiHidden/>
    <w:pPr>
      <w:spacing w:after="0"/>
      <w:ind w:left="144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pPr>
      <w:spacing w:after="0"/>
      <w:ind w:left="168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pPr>
      <w:spacing w:after="0"/>
      <w:ind w:left="192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8164</Words>
  <Characters>56332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Dolgozat</vt:lpstr>
    </vt:vector>
  </TitlesOfParts>
  <Company>Jászfényszaru</Company>
  <LinksUpToDate>false</LinksUpToDate>
  <CharactersWithSpaces>64368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Dolgozat</dc:title>
  <dc:creator>Pető István</dc:creator>
  <cp:lastModifiedBy>Gasparetz András</cp:lastModifiedBy>
  <cp:revision>2</cp:revision>
  <dcterms:created xsi:type="dcterms:W3CDTF">2010-04-11T18:17:00Z</dcterms:created>
  <dcterms:modified xsi:type="dcterms:W3CDTF">2010-04-11T18:17:00Z</dcterms:modified>
</cp:coreProperties>
</file>